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D8015" w14:textId="3658A6A7" w:rsidR="004B56C0" w:rsidRPr="001E41C1" w:rsidRDefault="009B46F2" w:rsidP="004B56C0">
      <w:pPr>
        <w:pBdr>
          <w:bottom w:val="single" w:sz="4" w:space="1" w:color="auto"/>
        </w:pBdr>
        <w:jc w:val="center"/>
        <w:rPr>
          <w:b/>
          <w:sz w:val="24"/>
          <w:szCs w:val="24"/>
        </w:rPr>
      </w:pPr>
      <w:bookmarkStart w:id="0" w:name="bookmark0"/>
      <w:bookmarkStart w:id="1" w:name="_dxtcompanion_actionscomplete"/>
      <w:r w:rsidRPr="009B46F2">
        <w:rPr>
          <w:b/>
          <w:bCs/>
          <w:sz w:val="24"/>
          <w:szCs w:val="24"/>
        </w:rPr>
        <w:t>NAINI PAPERS LIMITED</w:t>
      </w:r>
    </w:p>
    <w:p w14:paraId="07479161" w14:textId="77777777" w:rsidR="004B56C0" w:rsidRPr="001E41C1" w:rsidRDefault="004B56C0" w:rsidP="004B56C0">
      <w:pPr>
        <w:jc w:val="center"/>
        <w:rPr>
          <w:b/>
          <w:sz w:val="24"/>
          <w:szCs w:val="24"/>
        </w:rPr>
      </w:pPr>
      <w:r w:rsidRPr="001E41C1">
        <w:rPr>
          <w:b/>
          <w:sz w:val="24"/>
          <w:szCs w:val="24"/>
        </w:rPr>
        <w:t>POLICY ON MATERIALITY OF RELATED PARTY TRANSACTIONS AND DEALING WITH RELATED PARTY TRANSACTIONS</w:t>
      </w:r>
      <w:bookmarkEnd w:id="0"/>
    </w:p>
    <w:p w14:paraId="3D6794A4" w14:textId="77777777" w:rsidR="00B67A0B" w:rsidRPr="00B41DE0" w:rsidRDefault="00B67A0B" w:rsidP="00B67A0B">
      <w:pPr>
        <w:spacing w:after="200"/>
        <w:rPr>
          <w:rFonts w:eastAsia="Arial"/>
          <w:b/>
          <w:color w:val="2F5496" w:themeColor="accent1" w:themeShade="BF"/>
          <w:sz w:val="24"/>
          <w:szCs w:val="24"/>
        </w:rPr>
      </w:pPr>
    </w:p>
    <w:p w14:paraId="7A6441F2" w14:textId="53351E73" w:rsidR="004B75E3" w:rsidRPr="00B41DE0" w:rsidRDefault="004B75E3" w:rsidP="00B41DE0">
      <w:pPr>
        <w:spacing w:after="200"/>
        <w:textAlignment w:val="baseline"/>
        <w:rPr>
          <w:rFonts w:eastAsia="Arial"/>
          <w:sz w:val="24"/>
          <w:szCs w:val="24"/>
        </w:rPr>
      </w:pPr>
      <w:r w:rsidRPr="00B41DE0">
        <w:rPr>
          <w:rFonts w:eastAsia="Arial"/>
          <w:b/>
          <w:sz w:val="24"/>
          <w:szCs w:val="24"/>
        </w:rPr>
        <w:t>DEFINITIONS AND INTERPRETATION</w:t>
      </w:r>
    </w:p>
    <w:p w14:paraId="0202B7BE" w14:textId="267CB4FB" w:rsidR="004B75E3" w:rsidRPr="00B41DE0" w:rsidRDefault="004B75E3" w:rsidP="00B67A0B">
      <w:pPr>
        <w:pStyle w:val="Decimaloutlinedc1"/>
        <w:rPr>
          <w:sz w:val="24"/>
          <w:szCs w:val="24"/>
        </w:rPr>
      </w:pPr>
      <w:bookmarkStart w:id="2" w:name="_Toc199191500"/>
      <w:r w:rsidRPr="00B41DE0">
        <w:rPr>
          <w:sz w:val="24"/>
          <w:szCs w:val="24"/>
        </w:rPr>
        <w:t>Definitions</w:t>
      </w:r>
      <w:bookmarkEnd w:id="2"/>
    </w:p>
    <w:p w14:paraId="7342CE3B" w14:textId="79851850" w:rsidR="004B75E3" w:rsidRPr="00B41DE0" w:rsidRDefault="004B75E3" w:rsidP="00B67A0B">
      <w:pPr>
        <w:spacing w:after="200"/>
        <w:ind w:left="426"/>
        <w:jc w:val="both"/>
        <w:textAlignment w:val="baseline"/>
        <w:rPr>
          <w:rFonts w:eastAsia="Arial"/>
          <w:sz w:val="24"/>
          <w:szCs w:val="24"/>
        </w:rPr>
      </w:pPr>
      <w:r w:rsidRPr="00B41DE0">
        <w:rPr>
          <w:sz w:val="24"/>
          <w:szCs w:val="24"/>
        </w:rPr>
        <w:t>In this Policy, unless the context otherwise requires</w:t>
      </w:r>
      <w:r w:rsidRPr="00B41DE0">
        <w:rPr>
          <w:color w:val="3C4043"/>
          <w:sz w:val="24"/>
          <w:szCs w:val="24"/>
          <w:shd w:val="clear" w:color="auto" w:fill="FFFFFF"/>
        </w:rPr>
        <w:t>: </w:t>
      </w:r>
    </w:p>
    <w:p w14:paraId="793F67D9" w14:textId="255E4459" w:rsidR="004B75E3" w:rsidRPr="00B41DE0" w:rsidRDefault="004B75E3" w:rsidP="00B67A0B">
      <w:pPr>
        <w:pStyle w:val="ListParagraph"/>
        <w:spacing w:after="200"/>
        <w:ind w:left="426"/>
        <w:contextualSpacing w:val="0"/>
        <w:jc w:val="both"/>
        <w:textAlignment w:val="baseline"/>
        <w:rPr>
          <w:sz w:val="24"/>
          <w:szCs w:val="24"/>
        </w:rPr>
      </w:pPr>
      <w:r w:rsidRPr="00B41DE0">
        <w:rPr>
          <w:b/>
          <w:bCs/>
          <w:sz w:val="24"/>
          <w:szCs w:val="24"/>
        </w:rPr>
        <w:t>“Audit Committee”</w:t>
      </w:r>
      <w:r w:rsidRPr="00B41DE0">
        <w:rPr>
          <w:sz w:val="24"/>
          <w:szCs w:val="24"/>
        </w:rPr>
        <w:t xml:space="preserve"> shall mean the committee of Board constituted in pursuance of Section 177 of the </w:t>
      </w:r>
      <w:r w:rsidR="002C45F5">
        <w:rPr>
          <w:sz w:val="24"/>
          <w:szCs w:val="24"/>
        </w:rPr>
        <w:t xml:space="preserve">Companies </w:t>
      </w:r>
      <w:r w:rsidRPr="00B41DE0">
        <w:rPr>
          <w:sz w:val="24"/>
          <w:szCs w:val="24"/>
        </w:rPr>
        <w:t xml:space="preserve">Act and Regulation 18 of </w:t>
      </w:r>
      <w:r w:rsidR="000F21D1" w:rsidRPr="00B41DE0">
        <w:rPr>
          <w:sz w:val="24"/>
          <w:szCs w:val="24"/>
        </w:rPr>
        <w:t xml:space="preserve">SEBI </w:t>
      </w:r>
      <w:r w:rsidRPr="00B41DE0">
        <w:rPr>
          <w:sz w:val="24"/>
          <w:szCs w:val="24"/>
        </w:rPr>
        <w:t>Listing Regulations;</w:t>
      </w:r>
    </w:p>
    <w:p w14:paraId="107FE34D" w14:textId="087D2F9B" w:rsidR="004B75E3" w:rsidRDefault="004B75E3" w:rsidP="00B67A0B">
      <w:pPr>
        <w:pStyle w:val="ListParagraph"/>
        <w:spacing w:after="200"/>
        <w:ind w:left="426"/>
        <w:contextualSpacing w:val="0"/>
        <w:jc w:val="both"/>
        <w:textAlignment w:val="baseline"/>
        <w:rPr>
          <w:sz w:val="24"/>
          <w:szCs w:val="24"/>
        </w:rPr>
      </w:pPr>
      <w:r w:rsidRPr="00B41DE0">
        <w:rPr>
          <w:b/>
          <w:bCs/>
          <w:sz w:val="24"/>
          <w:szCs w:val="24"/>
        </w:rPr>
        <w:t>“Board”</w:t>
      </w:r>
      <w:r w:rsidRPr="00B41DE0">
        <w:rPr>
          <w:sz w:val="24"/>
          <w:szCs w:val="24"/>
        </w:rPr>
        <w:t xml:space="preserve"> shall mean the </w:t>
      </w:r>
      <w:r w:rsidR="00CC0184">
        <w:rPr>
          <w:sz w:val="24"/>
          <w:szCs w:val="24"/>
        </w:rPr>
        <w:t>b</w:t>
      </w:r>
      <w:r w:rsidRPr="00B41DE0">
        <w:rPr>
          <w:sz w:val="24"/>
          <w:szCs w:val="24"/>
        </w:rPr>
        <w:t xml:space="preserve">oard of </w:t>
      </w:r>
      <w:r w:rsidR="00CC0184">
        <w:rPr>
          <w:sz w:val="24"/>
          <w:szCs w:val="24"/>
        </w:rPr>
        <w:t>d</w:t>
      </w:r>
      <w:r w:rsidRPr="00B41DE0">
        <w:rPr>
          <w:sz w:val="24"/>
          <w:szCs w:val="24"/>
        </w:rPr>
        <w:t>irectors of the Company;</w:t>
      </w:r>
    </w:p>
    <w:p w14:paraId="1ABBB381" w14:textId="063C5F98" w:rsidR="00CC0184" w:rsidRPr="00CC0184" w:rsidRDefault="00CC0184" w:rsidP="00CC0184">
      <w:pPr>
        <w:pStyle w:val="ListParagraph"/>
        <w:spacing w:after="200"/>
        <w:ind w:left="426"/>
        <w:contextualSpacing w:val="0"/>
        <w:jc w:val="both"/>
        <w:textAlignment w:val="baseline"/>
        <w:rPr>
          <w:sz w:val="24"/>
          <w:szCs w:val="24"/>
        </w:rPr>
      </w:pPr>
      <w:bookmarkStart w:id="3" w:name="_Hlk209612768"/>
      <w:r w:rsidRPr="00B41DE0">
        <w:rPr>
          <w:b/>
          <w:bCs/>
          <w:sz w:val="24"/>
          <w:szCs w:val="24"/>
        </w:rPr>
        <w:t>“</w:t>
      </w:r>
      <w:r>
        <w:rPr>
          <w:b/>
          <w:bCs/>
          <w:sz w:val="24"/>
          <w:szCs w:val="24"/>
        </w:rPr>
        <w:t xml:space="preserve">Companies </w:t>
      </w:r>
      <w:r w:rsidRPr="00B41DE0">
        <w:rPr>
          <w:b/>
          <w:bCs/>
          <w:sz w:val="24"/>
          <w:szCs w:val="24"/>
        </w:rPr>
        <w:t>Act”</w:t>
      </w:r>
      <w:r w:rsidRPr="00B41DE0">
        <w:rPr>
          <w:sz w:val="24"/>
          <w:szCs w:val="24"/>
        </w:rPr>
        <w:t xml:space="preserve"> shall mean the Companies Act, 2013 including any statutory modification or re-enactment thereof;</w:t>
      </w:r>
    </w:p>
    <w:bookmarkEnd w:id="3"/>
    <w:p w14:paraId="153FB101" w14:textId="48097578" w:rsidR="004B75E3" w:rsidRDefault="004B75E3" w:rsidP="00B67A0B">
      <w:pPr>
        <w:pStyle w:val="ListParagraph"/>
        <w:spacing w:after="200"/>
        <w:ind w:left="426"/>
        <w:contextualSpacing w:val="0"/>
        <w:jc w:val="both"/>
        <w:textAlignment w:val="baseline"/>
        <w:rPr>
          <w:sz w:val="24"/>
          <w:szCs w:val="24"/>
        </w:rPr>
      </w:pPr>
      <w:r w:rsidRPr="00B41DE0">
        <w:rPr>
          <w:b/>
          <w:bCs/>
          <w:sz w:val="24"/>
          <w:szCs w:val="24"/>
        </w:rPr>
        <w:t>“Company”</w:t>
      </w:r>
      <w:r w:rsidRPr="00B41DE0">
        <w:rPr>
          <w:sz w:val="24"/>
          <w:szCs w:val="24"/>
        </w:rPr>
        <w:t xml:space="preserve"> shall mean </w:t>
      </w:r>
      <w:r w:rsidR="009B46F2" w:rsidRPr="009B46F2">
        <w:rPr>
          <w:sz w:val="24"/>
          <w:szCs w:val="24"/>
        </w:rPr>
        <w:t>Naini Papers Limited</w:t>
      </w:r>
      <w:r w:rsidRPr="00B41DE0">
        <w:rPr>
          <w:sz w:val="24"/>
          <w:szCs w:val="24"/>
        </w:rPr>
        <w:t>;</w:t>
      </w:r>
    </w:p>
    <w:p w14:paraId="2543BC8C" w14:textId="157F4323" w:rsidR="002C45F5" w:rsidRPr="002C45F5" w:rsidRDefault="002C45F5" w:rsidP="002C45F5">
      <w:pPr>
        <w:spacing w:after="200"/>
        <w:ind w:left="426"/>
        <w:jc w:val="both"/>
        <w:rPr>
          <w:sz w:val="24"/>
          <w:szCs w:val="24"/>
        </w:rPr>
      </w:pPr>
      <w:r w:rsidRPr="004807BF">
        <w:rPr>
          <w:sz w:val="24"/>
          <w:szCs w:val="24"/>
        </w:rPr>
        <w:t>“</w:t>
      </w:r>
      <w:r w:rsidRPr="004807BF">
        <w:rPr>
          <w:b/>
          <w:bCs/>
          <w:sz w:val="24"/>
          <w:szCs w:val="24"/>
        </w:rPr>
        <w:t>Director(s)</w:t>
      </w:r>
      <w:r w:rsidRPr="004807BF">
        <w:rPr>
          <w:sz w:val="24"/>
          <w:szCs w:val="24"/>
        </w:rPr>
        <w:t>” shall mean a member of the Board;</w:t>
      </w:r>
    </w:p>
    <w:p w14:paraId="47763766" w14:textId="0480A9C3" w:rsidR="004B75E3" w:rsidRPr="00B41DE0" w:rsidRDefault="004B75E3" w:rsidP="00B67A0B">
      <w:pPr>
        <w:pStyle w:val="ListParagraph"/>
        <w:spacing w:after="200"/>
        <w:ind w:left="426"/>
        <w:contextualSpacing w:val="0"/>
        <w:jc w:val="both"/>
        <w:textAlignment w:val="baseline"/>
        <w:rPr>
          <w:sz w:val="24"/>
          <w:szCs w:val="24"/>
        </w:rPr>
      </w:pPr>
      <w:r w:rsidRPr="00B41DE0">
        <w:rPr>
          <w:b/>
          <w:bCs/>
          <w:sz w:val="24"/>
          <w:szCs w:val="24"/>
        </w:rPr>
        <w:t>“Key Managerial Personnel”</w:t>
      </w:r>
      <w:r w:rsidRPr="00B41DE0">
        <w:rPr>
          <w:sz w:val="24"/>
          <w:szCs w:val="24"/>
        </w:rPr>
        <w:t xml:space="preserve"> shall mean the person(s) appointed as such in pursuance of Section 203 read with Section 2(51) of the </w:t>
      </w:r>
      <w:r w:rsidR="00CC0184">
        <w:rPr>
          <w:sz w:val="24"/>
          <w:szCs w:val="24"/>
        </w:rPr>
        <w:t xml:space="preserve">Companies </w:t>
      </w:r>
      <w:r w:rsidRPr="00B41DE0">
        <w:rPr>
          <w:sz w:val="24"/>
          <w:szCs w:val="24"/>
        </w:rPr>
        <w:t>Act;</w:t>
      </w:r>
    </w:p>
    <w:p w14:paraId="0C783086" w14:textId="6509B862" w:rsidR="004B75E3" w:rsidRPr="00B41DE0" w:rsidRDefault="004B75E3" w:rsidP="00B67A0B">
      <w:pPr>
        <w:pStyle w:val="ListParagraph"/>
        <w:spacing w:after="200"/>
        <w:ind w:left="426"/>
        <w:contextualSpacing w:val="0"/>
        <w:jc w:val="both"/>
        <w:rPr>
          <w:sz w:val="24"/>
          <w:szCs w:val="24"/>
        </w:rPr>
      </w:pPr>
      <w:r w:rsidRPr="00B41DE0">
        <w:rPr>
          <w:sz w:val="24"/>
          <w:szCs w:val="24"/>
        </w:rPr>
        <w:t>“</w:t>
      </w:r>
      <w:r w:rsidRPr="00B41DE0">
        <w:rPr>
          <w:b/>
          <w:bCs/>
          <w:sz w:val="24"/>
          <w:szCs w:val="24"/>
        </w:rPr>
        <w:t>Material Modification</w:t>
      </w:r>
      <w:r w:rsidRPr="00B41DE0">
        <w:rPr>
          <w:sz w:val="24"/>
          <w:szCs w:val="24"/>
        </w:rPr>
        <w:t xml:space="preserve">”, in relation to a Related Party Transaction approved by the Audit Committee or a material </w:t>
      </w:r>
      <w:r w:rsidR="00CC0184">
        <w:rPr>
          <w:sz w:val="24"/>
          <w:szCs w:val="24"/>
        </w:rPr>
        <w:t>R</w:t>
      </w:r>
      <w:r w:rsidRPr="00B41DE0">
        <w:rPr>
          <w:sz w:val="24"/>
          <w:szCs w:val="24"/>
        </w:rPr>
        <w:t xml:space="preserve">elated </w:t>
      </w:r>
      <w:r w:rsidR="00CC0184">
        <w:rPr>
          <w:sz w:val="24"/>
          <w:szCs w:val="24"/>
        </w:rPr>
        <w:t>P</w:t>
      </w:r>
      <w:r w:rsidRPr="00B41DE0">
        <w:rPr>
          <w:sz w:val="24"/>
          <w:szCs w:val="24"/>
        </w:rPr>
        <w:t xml:space="preserve">arty </w:t>
      </w:r>
      <w:r w:rsidR="00CC0184">
        <w:rPr>
          <w:sz w:val="24"/>
          <w:szCs w:val="24"/>
        </w:rPr>
        <w:t>T</w:t>
      </w:r>
      <w:r w:rsidRPr="00B41DE0">
        <w:rPr>
          <w:sz w:val="24"/>
          <w:szCs w:val="24"/>
        </w:rPr>
        <w:t xml:space="preserve">ransaction approved by the </w:t>
      </w:r>
      <w:r w:rsidR="00CC0184">
        <w:rPr>
          <w:sz w:val="24"/>
          <w:szCs w:val="24"/>
        </w:rPr>
        <w:t>s</w:t>
      </w:r>
      <w:r w:rsidRPr="00B41DE0">
        <w:rPr>
          <w:sz w:val="24"/>
          <w:szCs w:val="24"/>
        </w:rPr>
        <w:t>hareholders</w:t>
      </w:r>
      <w:r w:rsidR="00CC0184">
        <w:rPr>
          <w:sz w:val="24"/>
          <w:szCs w:val="24"/>
        </w:rPr>
        <w:t xml:space="preserve"> of the Company</w:t>
      </w:r>
      <w:r w:rsidRPr="00B41DE0">
        <w:rPr>
          <w:sz w:val="24"/>
          <w:szCs w:val="24"/>
        </w:rPr>
        <w:t xml:space="preserve">, as the case may be, shall mean </w:t>
      </w:r>
      <w:r w:rsidR="00F90F7F" w:rsidRPr="00F90F7F">
        <w:rPr>
          <w:rStyle w:val="BodytextBold"/>
          <w:b w:val="0"/>
          <w:bCs w:val="0"/>
          <w:sz w:val="24"/>
          <w:szCs w:val="24"/>
        </w:rPr>
        <w:t>any change (increase or decrease in the consideration for such transaction, taken individually or together with such Related Party in the financial year)</w:t>
      </w:r>
      <w:r w:rsidRPr="00B41DE0">
        <w:rPr>
          <w:sz w:val="24"/>
          <w:szCs w:val="24"/>
        </w:rPr>
        <w:t xml:space="preserve">, as the case may be and </w:t>
      </w:r>
      <w:r w:rsidR="00F90F7F">
        <w:rPr>
          <w:sz w:val="24"/>
          <w:szCs w:val="24"/>
        </w:rPr>
        <w:t>amounting</w:t>
      </w:r>
      <w:r w:rsidRPr="00B41DE0">
        <w:rPr>
          <w:sz w:val="24"/>
          <w:szCs w:val="24"/>
        </w:rPr>
        <w:t xml:space="preserve"> </w:t>
      </w:r>
      <w:r w:rsidR="004B08C6">
        <w:rPr>
          <w:rStyle w:val="BodytextBold"/>
          <w:b w:val="0"/>
          <w:bCs w:val="0"/>
          <w:sz w:val="24"/>
          <w:szCs w:val="24"/>
        </w:rPr>
        <w:t>5</w:t>
      </w:r>
      <w:r w:rsidRPr="00B41DE0">
        <w:rPr>
          <w:sz w:val="24"/>
          <w:szCs w:val="24"/>
        </w:rPr>
        <w:t>%</w:t>
      </w:r>
      <w:r w:rsidR="00072CAC">
        <w:rPr>
          <w:sz w:val="24"/>
          <w:szCs w:val="24"/>
        </w:rPr>
        <w:t xml:space="preserve"> </w:t>
      </w:r>
      <w:r w:rsidRPr="00C368A2">
        <w:rPr>
          <w:sz w:val="24"/>
          <w:szCs w:val="24"/>
        </w:rPr>
        <w:t xml:space="preserve"> </w:t>
      </w:r>
      <w:r w:rsidR="00C368A2" w:rsidRPr="00C368A2">
        <w:rPr>
          <w:sz w:val="24"/>
          <w:szCs w:val="24"/>
        </w:rPr>
        <w:t>of average of absolute value of profit or loss after tax, as per the last three audited consolidated financial statements</w:t>
      </w:r>
      <w:r w:rsidR="0081435B">
        <w:rPr>
          <w:sz w:val="24"/>
          <w:szCs w:val="24"/>
        </w:rPr>
        <w:t xml:space="preserve"> </w:t>
      </w:r>
      <w:r w:rsidRPr="00B41DE0">
        <w:rPr>
          <w:sz w:val="24"/>
          <w:szCs w:val="24"/>
        </w:rPr>
        <w:t>, in each case, over and above the pre-approved limits</w:t>
      </w:r>
      <w:r w:rsidR="00223424">
        <w:rPr>
          <w:sz w:val="24"/>
          <w:szCs w:val="24"/>
        </w:rPr>
        <w:t>;</w:t>
      </w:r>
      <w:r w:rsidR="00072CAC" w:rsidRPr="00072CAC">
        <w:rPr>
          <w:sz w:val="24"/>
          <w:szCs w:val="24"/>
        </w:rPr>
        <w:t xml:space="preserve"> </w:t>
      </w:r>
    </w:p>
    <w:p w14:paraId="28A471C6" w14:textId="77777777" w:rsidR="004B75E3" w:rsidRPr="00B41DE0" w:rsidRDefault="004B75E3" w:rsidP="00B67A0B">
      <w:pPr>
        <w:pStyle w:val="ListParagraph"/>
        <w:spacing w:after="200"/>
        <w:ind w:left="426"/>
        <w:contextualSpacing w:val="0"/>
        <w:jc w:val="both"/>
        <w:textAlignment w:val="baseline"/>
        <w:rPr>
          <w:sz w:val="24"/>
          <w:szCs w:val="24"/>
        </w:rPr>
      </w:pPr>
      <w:r w:rsidRPr="00B41DE0">
        <w:rPr>
          <w:sz w:val="24"/>
          <w:szCs w:val="24"/>
        </w:rPr>
        <w:t>“</w:t>
      </w:r>
      <w:r w:rsidRPr="00B41DE0">
        <w:rPr>
          <w:b/>
          <w:bCs/>
          <w:sz w:val="24"/>
          <w:szCs w:val="24"/>
        </w:rPr>
        <w:t>Ordinary Course of Business</w:t>
      </w:r>
      <w:r w:rsidRPr="00B41DE0">
        <w:rPr>
          <w:sz w:val="24"/>
          <w:szCs w:val="24"/>
        </w:rPr>
        <w:t xml:space="preserve">” with reference to a transaction with a related party shall mean a transaction which is: </w:t>
      </w:r>
    </w:p>
    <w:p w14:paraId="47AD905F" w14:textId="0D03C71F" w:rsidR="004B75E3" w:rsidRPr="00B41DE0" w:rsidRDefault="004B75E3" w:rsidP="00B67A0B">
      <w:pPr>
        <w:pStyle w:val="Decimaloutlinedc4"/>
        <w:rPr>
          <w:sz w:val="24"/>
          <w:szCs w:val="24"/>
        </w:rPr>
      </w:pPr>
      <w:r w:rsidRPr="00B41DE0">
        <w:rPr>
          <w:sz w:val="24"/>
          <w:szCs w:val="24"/>
        </w:rPr>
        <w:t xml:space="preserve">carried out in the normal course of business envisaged in accordance with the </w:t>
      </w:r>
      <w:r w:rsidR="00072CAC">
        <w:rPr>
          <w:sz w:val="24"/>
          <w:szCs w:val="24"/>
        </w:rPr>
        <w:t>m</w:t>
      </w:r>
      <w:r w:rsidRPr="00B41DE0">
        <w:rPr>
          <w:sz w:val="24"/>
          <w:szCs w:val="24"/>
        </w:rPr>
        <w:t xml:space="preserve">emorandum of </w:t>
      </w:r>
      <w:r w:rsidR="00072CAC">
        <w:rPr>
          <w:sz w:val="24"/>
          <w:szCs w:val="24"/>
        </w:rPr>
        <w:t>a</w:t>
      </w:r>
      <w:r w:rsidRPr="00B41DE0">
        <w:rPr>
          <w:sz w:val="24"/>
          <w:szCs w:val="24"/>
        </w:rPr>
        <w:t xml:space="preserve">ssociation of the Company as amended from time to time; </w:t>
      </w:r>
    </w:p>
    <w:p w14:paraId="68886560" w14:textId="7DFDE44F" w:rsidR="004B75E3" w:rsidRPr="00B41DE0" w:rsidRDefault="00072CAC" w:rsidP="00B67A0B">
      <w:pPr>
        <w:pStyle w:val="Decimaloutlinedc4"/>
        <w:rPr>
          <w:sz w:val="24"/>
          <w:szCs w:val="24"/>
        </w:rPr>
      </w:pPr>
      <w:r>
        <w:rPr>
          <w:sz w:val="24"/>
          <w:szCs w:val="24"/>
        </w:rPr>
        <w:t xml:space="preserve">historical practice and </w:t>
      </w:r>
      <w:r w:rsidR="004B75E3" w:rsidRPr="00B41DE0">
        <w:rPr>
          <w:sz w:val="24"/>
          <w:szCs w:val="24"/>
        </w:rPr>
        <w:t xml:space="preserve">repetitive/frequent in nature; </w:t>
      </w:r>
    </w:p>
    <w:p w14:paraId="53A5FE0C" w14:textId="37C8FC36" w:rsidR="004B75E3" w:rsidRPr="00B41DE0" w:rsidRDefault="004B75E3" w:rsidP="00B67A0B">
      <w:pPr>
        <w:pStyle w:val="Decimaloutlinedc4"/>
        <w:rPr>
          <w:sz w:val="24"/>
          <w:szCs w:val="24"/>
        </w:rPr>
      </w:pPr>
      <w:r w:rsidRPr="00B41DE0">
        <w:rPr>
          <w:sz w:val="24"/>
          <w:szCs w:val="24"/>
        </w:rPr>
        <w:t>normal and otherwise routine in the particular business;</w:t>
      </w:r>
    </w:p>
    <w:p w14:paraId="220FFAF6" w14:textId="34808579" w:rsidR="004B75E3" w:rsidRPr="00B41DE0" w:rsidRDefault="004B75E3" w:rsidP="00B67A0B">
      <w:pPr>
        <w:pStyle w:val="Decimaloutlinedc4"/>
        <w:rPr>
          <w:sz w:val="24"/>
          <w:szCs w:val="24"/>
        </w:rPr>
      </w:pPr>
      <w:r w:rsidRPr="00B41DE0">
        <w:rPr>
          <w:sz w:val="24"/>
          <w:szCs w:val="24"/>
        </w:rPr>
        <w:t>common in a particular industry;</w:t>
      </w:r>
    </w:p>
    <w:p w14:paraId="5A1B78B9" w14:textId="102CAD9A" w:rsidR="004B75E3" w:rsidRPr="00B41DE0" w:rsidRDefault="004B75E3" w:rsidP="00B67A0B">
      <w:pPr>
        <w:pStyle w:val="Decimaloutlinedc4"/>
        <w:rPr>
          <w:sz w:val="24"/>
          <w:szCs w:val="24"/>
        </w:rPr>
      </w:pPr>
      <w:r w:rsidRPr="00B41DE0">
        <w:rPr>
          <w:sz w:val="24"/>
          <w:szCs w:val="24"/>
        </w:rPr>
        <w:t xml:space="preserve">in furtherance of business objectives and/or business purposes of the Company; </w:t>
      </w:r>
    </w:p>
    <w:p w14:paraId="6AF32460" w14:textId="35B98BE5" w:rsidR="004B75E3" w:rsidRPr="00B41DE0" w:rsidRDefault="004B75E3" w:rsidP="00B67A0B">
      <w:pPr>
        <w:pStyle w:val="Decimaloutlinedc4"/>
        <w:rPr>
          <w:sz w:val="24"/>
          <w:szCs w:val="24"/>
        </w:rPr>
      </w:pPr>
      <w:r w:rsidRPr="00B41DE0">
        <w:rPr>
          <w:sz w:val="24"/>
          <w:szCs w:val="24"/>
        </w:rPr>
        <w:t>meets any other parameters/criteria as decided by the Board/Audit Committee, from time to time</w:t>
      </w:r>
      <w:r w:rsidR="00223424">
        <w:rPr>
          <w:sz w:val="24"/>
          <w:szCs w:val="24"/>
        </w:rPr>
        <w:t>;</w:t>
      </w:r>
    </w:p>
    <w:p w14:paraId="59DD4E17" w14:textId="77777777" w:rsidR="00510D73" w:rsidRDefault="00510D73" w:rsidP="00B67A0B">
      <w:pPr>
        <w:pStyle w:val="ListParagraph"/>
        <w:spacing w:after="200"/>
        <w:ind w:left="426"/>
        <w:contextualSpacing w:val="0"/>
        <w:jc w:val="both"/>
        <w:textAlignment w:val="baseline"/>
        <w:rPr>
          <w:b/>
          <w:bCs/>
          <w:sz w:val="24"/>
          <w:szCs w:val="24"/>
        </w:rPr>
      </w:pPr>
    </w:p>
    <w:p w14:paraId="1E18E589" w14:textId="77777777" w:rsidR="00510D73" w:rsidRDefault="00510D73" w:rsidP="00B67A0B">
      <w:pPr>
        <w:pStyle w:val="ListParagraph"/>
        <w:spacing w:after="200"/>
        <w:ind w:left="426"/>
        <w:contextualSpacing w:val="0"/>
        <w:jc w:val="both"/>
        <w:textAlignment w:val="baseline"/>
        <w:rPr>
          <w:b/>
          <w:bCs/>
          <w:sz w:val="24"/>
          <w:szCs w:val="24"/>
        </w:rPr>
      </w:pPr>
    </w:p>
    <w:p w14:paraId="41F7C506" w14:textId="089C8354" w:rsidR="00510D73" w:rsidRPr="00510D73" w:rsidRDefault="00510D73" w:rsidP="00510D73">
      <w:pPr>
        <w:spacing w:after="240"/>
        <w:ind w:left="426"/>
        <w:jc w:val="both"/>
        <w:rPr>
          <w:sz w:val="24"/>
          <w:szCs w:val="24"/>
        </w:rPr>
      </w:pPr>
      <w:r w:rsidRPr="00510D73">
        <w:rPr>
          <w:rStyle w:val="BodytextBold"/>
          <w:sz w:val="24"/>
          <w:szCs w:val="24"/>
        </w:rPr>
        <w:lastRenderedPageBreak/>
        <w:t>“Policy”</w:t>
      </w:r>
      <w:r w:rsidR="002E75E7">
        <w:rPr>
          <w:sz w:val="24"/>
          <w:szCs w:val="24"/>
        </w:rPr>
        <w:t xml:space="preserve"> shall mean</w:t>
      </w:r>
      <w:r w:rsidRPr="00510D73">
        <w:rPr>
          <w:sz w:val="24"/>
          <w:szCs w:val="24"/>
        </w:rPr>
        <w:t xml:space="preserve"> this </w:t>
      </w:r>
      <w:r w:rsidR="00223424">
        <w:rPr>
          <w:sz w:val="24"/>
          <w:szCs w:val="24"/>
        </w:rPr>
        <w:t>P</w:t>
      </w:r>
      <w:r w:rsidRPr="00510D73">
        <w:rPr>
          <w:sz w:val="24"/>
          <w:szCs w:val="24"/>
        </w:rPr>
        <w:t>olicy</w:t>
      </w:r>
      <w:r w:rsidR="00223424">
        <w:rPr>
          <w:sz w:val="24"/>
          <w:szCs w:val="24"/>
        </w:rPr>
        <w:t xml:space="preserve"> on Materiality of Related Party Transactions and Dealing with Related Party Transactions</w:t>
      </w:r>
      <w:r w:rsidRPr="00510D73">
        <w:rPr>
          <w:sz w:val="24"/>
          <w:szCs w:val="24"/>
        </w:rPr>
        <w:t>, as amended from time to time</w:t>
      </w:r>
      <w:r w:rsidR="00223424">
        <w:rPr>
          <w:sz w:val="24"/>
          <w:szCs w:val="24"/>
        </w:rPr>
        <w:t>;</w:t>
      </w:r>
    </w:p>
    <w:p w14:paraId="4450C390" w14:textId="77777777" w:rsidR="007756E2" w:rsidRDefault="004B75E3" w:rsidP="00B67A0B">
      <w:pPr>
        <w:pStyle w:val="ListParagraph"/>
        <w:spacing w:after="200"/>
        <w:ind w:left="426"/>
        <w:contextualSpacing w:val="0"/>
        <w:jc w:val="both"/>
        <w:textAlignment w:val="baseline"/>
        <w:rPr>
          <w:sz w:val="24"/>
          <w:szCs w:val="24"/>
        </w:rPr>
      </w:pPr>
      <w:r w:rsidRPr="00B41DE0">
        <w:rPr>
          <w:b/>
          <w:bCs/>
          <w:sz w:val="24"/>
          <w:szCs w:val="24"/>
        </w:rPr>
        <w:t>“Related Party”</w:t>
      </w:r>
      <w:r w:rsidRPr="00B41DE0">
        <w:rPr>
          <w:sz w:val="24"/>
          <w:szCs w:val="24"/>
        </w:rPr>
        <w:t xml:space="preserve">, in relation to the Company shall mean a party related with the Company in any of the ways as laid down in Section 2(76) of the Companies Act, </w:t>
      </w:r>
      <w:r w:rsidR="00510D73">
        <w:rPr>
          <w:sz w:val="24"/>
          <w:szCs w:val="24"/>
        </w:rPr>
        <w:t xml:space="preserve">Rules, </w:t>
      </w:r>
      <w:r w:rsidR="000F21D1" w:rsidRPr="00B41DE0">
        <w:rPr>
          <w:sz w:val="24"/>
          <w:szCs w:val="24"/>
        </w:rPr>
        <w:t xml:space="preserve">SEBI </w:t>
      </w:r>
      <w:r w:rsidRPr="00B41DE0">
        <w:rPr>
          <w:sz w:val="24"/>
          <w:szCs w:val="24"/>
        </w:rPr>
        <w:t>Listing Regulations or under applicable accounting standards, each as amended</w:t>
      </w:r>
    </w:p>
    <w:p w14:paraId="5902651A" w14:textId="614B902D" w:rsidR="004B75E3" w:rsidRPr="00B41DE0" w:rsidRDefault="007756E2" w:rsidP="00B67A0B">
      <w:pPr>
        <w:pStyle w:val="ListParagraph"/>
        <w:spacing w:after="200"/>
        <w:ind w:left="426"/>
        <w:contextualSpacing w:val="0"/>
        <w:jc w:val="both"/>
        <w:textAlignment w:val="baseline"/>
        <w:rPr>
          <w:sz w:val="24"/>
          <w:szCs w:val="24"/>
        </w:rPr>
      </w:pPr>
      <w:r w:rsidRPr="007756E2">
        <w:rPr>
          <w:sz w:val="24"/>
          <w:szCs w:val="24"/>
        </w:rPr>
        <w:t xml:space="preserve">Provided that: (a) any person or entity forming a part of the promoter or promoter group of the </w:t>
      </w:r>
      <w:r w:rsidR="00927C1C">
        <w:rPr>
          <w:sz w:val="24"/>
          <w:szCs w:val="24"/>
        </w:rPr>
        <w:t>Company</w:t>
      </w:r>
      <w:r w:rsidRPr="007756E2">
        <w:rPr>
          <w:sz w:val="24"/>
          <w:szCs w:val="24"/>
        </w:rPr>
        <w:t>; or (b) any person or any entity, holding equity shares:</w:t>
      </w:r>
      <w:r>
        <w:rPr>
          <w:sz w:val="24"/>
          <w:szCs w:val="24"/>
        </w:rPr>
        <w:t xml:space="preserve"> </w:t>
      </w:r>
      <w:r w:rsidRPr="007756E2">
        <w:rPr>
          <w:sz w:val="24"/>
          <w:szCs w:val="24"/>
        </w:rPr>
        <w:t>(i) of twenty per cent or more; or</w:t>
      </w:r>
      <w:r>
        <w:rPr>
          <w:sz w:val="24"/>
          <w:szCs w:val="24"/>
        </w:rPr>
        <w:t xml:space="preserve"> </w:t>
      </w:r>
      <w:r w:rsidRPr="007756E2">
        <w:rPr>
          <w:sz w:val="24"/>
          <w:szCs w:val="24"/>
        </w:rPr>
        <w:t xml:space="preserve">(ii) of ten per cent or more, in the </w:t>
      </w:r>
      <w:r w:rsidR="00927C1C">
        <w:rPr>
          <w:sz w:val="24"/>
          <w:szCs w:val="24"/>
        </w:rPr>
        <w:t>Company</w:t>
      </w:r>
      <w:r w:rsidRPr="007756E2">
        <w:rPr>
          <w:sz w:val="24"/>
          <w:szCs w:val="24"/>
        </w:rPr>
        <w:t xml:space="preserve"> either directly or on a beneficial interest basis as provided under  </w:t>
      </w:r>
      <w:r>
        <w:rPr>
          <w:sz w:val="24"/>
          <w:szCs w:val="24"/>
        </w:rPr>
        <w:t>S</w:t>
      </w:r>
      <w:r w:rsidRPr="007756E2">
        <w:rPr>
          <w:sz w:val="24"/>
          <w:szCs w:val="24"/>
        </w:rPr>
        <w:t>ection  89  of  the  Companies  Act,  2013,  at  any  time,  during  the immediate preceding financial year;</w:t>
      </w:r>
      <w:r>
        <w:rPr>
          <w:sz w:val="24"/>
          <w:szCs w:val="24"/>
        </w:rPr>
        <w:t xml:space="preserve"> </w:t>
      </w:r>
      <w:r w:rsidRPr="007756E2">
        <w:rPr>
          <w:sz w:val="24"/>
          <w:szCs w:val="24"/>
        </w:rPr>
        <w:t>shall be deemed to be a related party</w:t>
      </w:r>
      <w:r w:rsidR="00223424">
        <w:rPr>
          <w:sz w:val="24"/>
          <w:szCs w:val="24"/>
        </w:rPr>
        <w:t>;</w:t>
      </w:r>
    </w:p>
    <w:p w14:paraId="6F07D18B" w14:textId="79D1F058" w:rsidR="004B75E3" w:rsidRPr="00B41DE0" w:rsidRDefault="004B75E3" w:rsidP="00B67A0B">
      <w:pPr>
        <w:pStyle w:val="ListParagraph"/>
        <w:spacing w:after="200"/>
        <w:ind w:left="426"/>
        <w:contextualSpacing w:val="0"/>
        <w:jc w:val="both"/>
        <w:rPr>
          <w:sz w:val="24"/>
          <w:szCs w:val="24"/>
        </w:rPr>
      </w:pPr>
      <w:r w:rsidRPr="00B41DE0">
        <w:rPr>
          <w:sz w:val="24"/>
          <w:szCs w:val="24"/>
        </w:rPr>
        <w:t>‘‘</w:t>
      </w:r>
      <w:r w:rsidRPr="00B41DE0">
        <w:rPr>
          <w:b/>
          <w:bCs/>
          <w:sz w:val="24"/>
          <w:szCs w:val="24"/>
        </w:rPr>
        <w:t>Relative</w:t>
      </w:r>
      <w:r w:rsidRPr="00B41DE0">
        <w:rPr>
          <w:sz w:val="24"/>
          <w:szCs w:val="24"/>
        </w:rPr>
        <w:t xml:space="preserve">’’ with reference to any person, shall mean anyone who is related to another person as defined under Section 2(77) of the Companies Act and applicable </w:t>
      </w:r>
      <w:r w:rsidR="00510D73">
        <w:rPr>
          <w:sz w:val="24"/>
          <w:szCs w:val="24"/>
        </w:rPr>
        <w:t>a</w:t>
      </w:r>
      <w:r w:rsidRPr="00B41DE0">
        <w:rPr>
          <w:sz w:val="24"/>
          <w:szCs w:val="24"/>
        </w:rPr>
        <w:t xml:space="preserve">ccounting </w:t>
      </w:r>
      <w:r w:rsidR="00510D73">
        <w:rPr>
          <w:sz w:val="24"/>
          <w:szCs w:val="24"/>
        </w:rPr>
        <w:t>s</w:t>
      </w:r>
      <w:r w:rsidRPr="00B41DE0">
        <w:rPr>
          <w:sz w:val="24"/>
          <w:szCs w:val="24"/>
        </w:rPr>
        <w:t>tandards</w:t>
      </w:r>
      <w:r w:rsidR="00510D73">
        <w:rPr>
          <w:sz w:val="24"/>
          <w:szCs w:val="24"/>
        </w:rPr>
        <w:t>, each as amended</w:t>
      </w:r>
      <w:r w:rsidR="00223424">
        <w:rPr>
          <w:sz w:val="24"/>
          <w:szCs w:val="24"/>
        </w:rPr>
        <w:t>;</w:t>
      </w:r>
    </w:p>
    <w:p w14:paraId="5A320630" w14:textId="77777777" w:rsidR="004B75E3" w:rsidRPr="00B41DE0" w:rsidRDefault="004B75E3" w:rsidP="00B67A0B">
      <w:pPr>
        <w:pStyle w:val="ListParagraph"/>
        <w:spacing w:after="200"/>
        <w:ind w:left="426"/>
        <w:contextualSpacing w:val="0"/>
        <w:jc w:val="both"/>
        <w:textAlignment w:val="baseline"/>
        <w:rPr>
          <w:sz w:val="24"/>
          <w:szCs w:val="24"/>
        </w:rPr>
      </w:pPr>
      <w:r w:rsidRPr="00B41DE0">
        <w:rPr>
          <w:b/>
          <w:bCs/>
          <w:sz w:val="24"/>
          <w:szCs w:val="24"/>
        </w:rPr>
        <w:t>“Related Party Transaction”</w:t>
      </w:r>
      <w:r w:rsidRPr="00B41DE0">
        <w:rPr>
          <w:sz w:val="24"/>
          <w:szCs w:val="24"/>
        </w:rPr>
        <w:t xml:space="preserve"> shall mean a transaction involving a transfer of resources, services or obligations between: </w:t>
      </w:r>
    </w:p>
    <w:p w14:paraId="4C244DE2" w14:textId="77777777" w:rsidR="004B75E3" w:rsidRPr="00510D73" w:rsidRDefault="004B75E3" w:rsidP="00510D73">
      <w:pPr>
        <w:pStyle w:val="Decimaloutlinedc4"/>
        <w:numPr>
          <w:ilvl w:val="3"/>
          <w:numId w:val="66"/>
        </w:numPr>
        <w:rPr>
          <w:sz w:val="24"/>
          <w:szCs w:val="24"/>
        </w:rPr>
      </w:pPr>
      <w:r w:rsidRPr="00510D73">
        <w:rPr>
          <w:sz w:val="24"/>
          <w:szCs w:val="24"/>
        </w:rPr>
        <w:t xml:space="preserve">the Company or any of its subsidiaries on one hand and a related party of the Company or any of its subsidiaries on the other hand; or </w:t>
      </w:r>
    </w:p>
    <w:p w14:paraId="27CCA6E7" w14:textId="45715069" w:rsidR="004B75E3" w:rsidRPr="00B41DE0" w:rsidRDefault="004B75E3" w:rsidP="00B67A0B">
      <w:pPr>
        <w:pStyle w:val="Decimaloutlinedc4"/>
        <w:rPr>
          <w:sz w:val="24"/>
          <w:szCs w:val="24"/>
        </w:rPr>
      </w:pPr>
      <w:r w:rsidRPr="00B41DE0">
        <w:rPr>
          <w:sz w:val="24"/>
          <w:szCs w:val="24"/>
        </w:rPr>
        <w:t xml:space="preserve">the Company or any of its subsidiaries on one hand, and any other person or entity on the other hand, the purpose and effect of which is to benefit a related party of the Company or any of its subsidiaries; </w:t>
      </w:r>
    </w:p>
    <w:p w14:paraId="712BB08D" w14:textId="48B806D7" w:rsidR="004B75E3" w:rsidRPr="00B41DE0" w:rsidRDefault="004B75E3" w:rsidP="00B67A0B">
      <w:pPr>
        <w:pStyle w:val="ListParagraph"/>
        <w:spacing w:after="200"/>
        <w:ind w:left="426"/>
        <w:contextualSpacing w:val="0"/>
        <w:jc w:val="both"/>
        <w:textAlignment w:val="baseline"/>
        <w:rPr>
          <w:sz w:val="24"/>
          <w:szCs w:val="24"/>
        </w:rPr>
      </w:pPr>
      <w:r w:rsidRPr="00B41DE0">
        <w:rPr>
          <w:sz w:val="24"/>
          <w:szCs w:val="24"/>
        </w:rPr>
        <w:t xml:space="preserve">regardless of whether a price is charged and a “transaction” with a related party shall be construed to include a single transaction or a group of transactions in a contract, and includes transactions as defined as a “related party transaction” under the relevant provisions of the Companies Act, the </w:t>
      </w:r>
      <w:r w:rsidR="000F21D1" w:rsidRPr="00B41DE0">
        <w:rPr>
          <w:sz w:val="24"/>
          <w:szCs w:val="24"/>
        </w:rPr>
        <w:t xml:space="preserve">SEBI </w:t>
      </w:r>
      <w:r w:rsidRPr="00B41DE0">
        <w:rPr>
          <w:sz w:val="24"/>
          <w:szCs w:val="24"/>
        </w:rPr>
        <w:t>Listing Regulations or any other related law, regulation, standard, each as amended;</w:t>
      </w:r>
    </w:p>
    <w:p w14:paraId="7019FD35" w14:textId="77777777" w:rsidR="004B75E3" w:rsidRPr="00B41DE0" w:rsidRDefault="004B75E3" w:rsidP="00B67A0B">
      <w:pPr>
        <w:pStyle w:val="ListParagraph"/>
        <w:spacing w:after="200"/>
        <w:ind w:left="426"/>
        <w:contextualSpacing w:val="0"/>
        <w:jc w:val="both"/>
        <w:textAlignment w:val="baseline"/>
        <w:rPr>
          <w:sz w:val="24"/>
          <w:szCs w:val="24"/>
        </w:rPr>
      </w:pPr>
      <w:r w:rsidRPr="00B41DE0">
        <w:rPr>
          <w:sz w:val="24"/>
          <w:szCs w:val="24"/>
        </w:rPr>
        <w:t>Provided that the following shall not be a related party transaction:</w:t>
      </w:r>
    </w:p>
    <w:p w14:paraId="055A24B3" w14:textId="3A181517" w:rsidR="004B75E3" w:rsidRPr="004A7AD3" w:rsidRDefault="004A7AD3" w:rsidP="004A7AD3">
      <w:pPr>
        <w:pStyle w:val="Decimaloutlinedc5"/>
        <w:rPr>
          <w:sz w:val="24"/>
          <w:szCs w:val="24"/>
        </w:rPr>
      </w:pPr>
      <w:r>
        <w:rPr>
          <w:sz w:val="24"/>
          <w:szCs w:val="24"/>
        </w:rPr>
        <w:t>the issue of specified securities on a preferential basis, subject to compliance of the requirements under the Securities and Exchange Board of India (Issue of Capital and Disclosure Requirements) Regulations, 2018;</w:t>
      </w:r>
    </w:p>
    <w:p w14:paraId="2C71A847" w14:textId="77777777" w:rsidR="004A7AD3" w:rsidRDefault="004A7AD3" w:rsidP="004A7AD3">
      <w:pPr>
        <w:pStyle w:val="Decimaloutlinedc5"/>
        <w:rPr>
          <w:sz w:val="24"/>
          <w:szCs w:val="24"/>
        </w:rPr>
      </w:pPr>
      <w:r>
        <w:rPr>
          <w:sz w:val="24"/>
          <w:szCs w:val="24"/>
        </w:rPr>
        <w:t>t</w:t>
      </w:r>
      <w:r w:rsidR="004B75E3" w:rsidRPr="00B41DE0">
        <w:rPr>
          <w:sz w:val="24"/>
          <w:szCs w:val="24"/>
        </w:rPr>
        <w:t xml:space="preserve">he following corporate actions which are uniformly applicable/offered to all shareholders in proportion to their shareholding: </w:t>
      </w:r>
    </w:p>
    <w:p w14:paraId="15FB8108" w14:textId="77777777" w:rsidR="004A7AD3" w:rsidRDefault="004B75E3" w:rsidP="004A7AD3">
      <w:pPr>
        <w:pStyle w:val="Decimaloutlinedc5"/>
        <w:numPr>
          <w:ilvl w:val="0"/>
          <w:numId w:val="68"/>
        </w:numPr>
        <w:rPr>
          <w:sz w:val="24"/>
          <w:szCs w:val="24"/>
        </w:rPr>
      </w:pPr>
      <w:r w:rsidRPr="004A7AD3">
        <w:rPr>
          <w:sz w:val="24"/>
          <w:szCs w:val="24"/>
        </w:rPr>
        <w:t xml:space="preserve">payment of dividend; </w:t>
      </w:r>
    </w:p>
    <w:p w14:paraId="07FC4DE4" w14:textId="77777777" w:rsidR="004A7AD3" w:rsidRDefault="004B75E3" w:rsidP="004A7AD3">
      <w:pPr>
        <w:pStyle w:val="Decimaloutlinedc5"/>
        <w:numPr>
          <w:ilvl w:val="0"/>
          <w:numId w:val="68"/>
        </w:numPr>
        <w:rPr>
          <w:sz w:val="24"/>
          <w:szCs w:val="24"/>
        </w:rPr>
      </w:pPr>
      <w:r w:rsidRPr="004A7AD3">
        <w:rPr>
          <w:sz w:val="24"/>
          <w:szCs w:val="24"/>
        </w:rPr>
        <w:t xml:space="preserve">subdivision or consolidation of securities; </w:t>
      </w:r>
    </w:p>
    <w:p w14:paraId="18C6B7AE" w14:textId="77777777" w:rsidR="004A7AD3" w:rsidRDefault="004B75E3" w:rsidP="004A7AD3">
      <w:pPr>
        <w:pStyle w:val="Decimaloutlinedc5"/>
        <w:numPr>
          <w:ilvl w:val="0"/>
          <w:numId w:val="68"/>
        </w:numPr>
        <w:rPr>
          <w:sz w:val="24"/>
          <w:szCs w:val="24"/>
        </w:rPr>
      </w:pPr>
      <w:r w:rsidRPr="004A7AD3">
        <w:rPr>
          <w:sz w:val="24"/>
          <w:szCs w:val="24"/>
        </w:rPr>
        <w:t xml:space="preserve">issuance of securities by way of a rights issue or a bonus issue; and </w:t>
      </w:r>
    </w:p>
    <w:p w14:paraId="17D728BE" w14:textId="69E1DC20" w:rsidR="004B75E3" w:rsidRPr="004A7AD3" w:rsidRDefault="004B75E3" w:rsidP="004A7AD3">
      <w:pPr>
        <w:pStyle w:val="Decimaloutlinedc5"/>
        <w:numPr>
          <w:ilvl w:val="0"/>
          <w:numId w:val="68"/>
        </w:numPr>
        <w:rPr>
          <w:sz w:val="24"/>
          <w:szCs w:val="24"/>
        </w:rPr>
      </w:pPr>
      <w:r w:rsidRPr="004A7AD3">
        <w:rPr>
          <w:sz w:val="24"/>
          <w:szCs w:val="24"/>
        </w:rPr>
        <w:t>buy-back of securities.</w:t>
      </w:r>
    </w:p>
    <w:p w14:paraId="3442C163" w14:textId="30519EF7" w:rsidR="004B75E3" w:rsidRPr="00B41DE0" w:rsidRDefault="00CB5AFA" w:rsidP="00B67A0B">
      <w:pPr>
        <w:pStyle w:val="Decimaloutlinedc5"/>
        <w:rPr>
          <w:sz w:val="24"/>
          <w:szCs w:val="24"/>
        </w:rPr>
      </w:pPr>
      <w:r>
        <w:rPr>
          <w:sz w:val="24"/>
          <w:szCs w:val="24"/>
        </w:rPr>
        <w:t>[</w:t>
      </w:r>
      <w:r w:rsidR="004A7AD3">
        <w:rPr>
          <w:sz w:val="24"/>
          <w:szCs w:val="24"/>
        </w:rPr>
        <w:t>a</w:t>
      </w:r>
      <w:r w:rsidR="004A7AD3" w:rsidRPr="004A7AD3">
        <w:rPr>
          <w:sz w:val="24"/>
          <w:szCs w:val="24"/>
        </w:rPr>
        <w:t>cceptance of fixed deposits by banks/</w:t>
      </w:r>
      <w:r w:rsidR="004A7AD3">
        <w:rPr>
          <w:sz w:val="24"/>
          <w:szCs w:val="24"/>
        </w:rPr>
        <w:t>n</w:t>
      </w:r>
      <w:r w:rsidR="004A7AD3" w:rsidRPr="004A7AD3">
        <w:rPr>
          <w:sz w:val="24"/>
          <w:szCs w:val="24"/>
        </w:rPr>
        <w:t>on-</w:t>
      </w:r>
      <w:r w:rsidR="004A7AD3">
        <w:rPr>
          <w:sz w:val="24"/>
          <w:szCs w:val="24"/>
        </w:rPr>
        <w:t>b</w:t>
      </w:r>
      <w:r w:rsidR="004A7AD3" w:rsidRPr="004A7AD3">
        <w:rPr>
          <w:sz w:val="24"/>
          <w:szCs w:val="24"/>
        </w:rPr>
        <w:t xml:space="preserve">anking </w:t>
      </w:r>
      <w:r w:rsidR="004A7AD3">
        <w:rPr>
          <w:sz w:val="24"/>
          <w:szCs w:val="24"/>
        </w:rPr>
        <w:t>f</w:t>
      </w:r>
      <w:r w:rsidR="004A7AD3" w:rsidRPr="004A7AD3">
        <w:rPr>
          <w:sz w:val="24"/>
          <w:szCs w:val="24"/>
        </w:rPr>
        <w:t xml:space="preserve">inance </w:t>
      </w:r>
      <w:r w:rsidR="004A7AD3">
        <w:rPr>
          <w:sz w:val="24"/>
          <w:szCs w:val="24"/>
        </w:rPr>
        <w:t>c</w:t>
      </w:r>
      <w:r w:rsidR="004A7AD3" w:rsidRPr="004A7AD3">
        <w:rPr>
          <w:sz w:val="24"/>
          <w:szCs w:val="24"/>
        </w:rPr>
        <w:t xml:space="preserve">ompanies at the terms uniformly applicable/offered to all shareholders/public, subject to disclosure of the same along with the disclosure of related party transactions every six months to the stock exchange(s), in the format as specified by the </w:t>
      </w:r>
      <w:r w:rsidR="004A7AD3">
        <w:rPr>
          <w:sz w:val="24"/>
          <w:szCs w:val="24"/>
        </w:rPr>
        <w:t>Securities and Exchange Board of India;</w:t>
      </w:r>
    </w:p>
    <w:p w14:paraId="0001CDEF" w14:textId="0A76D0B5" w:rsidR="004B75E3" w:rsidRDefault="004A7AD3" w:rsidP="00B67A0B">
      <w:pPr>
        <w:pStyle w:val="Decimaloutlinedc5"/>
        <w:rPr>
          <w:sz w:val="24"/>
          <w:szCs w:val="24"/>
        </w:rPr>
      </w:pPr>
      <w:r w:rsidRPr="004A7AD3">
        <w:rPr>
          <w:sz w:val="24"/>
          <w:szCs w:val="24"/>
        </w:rPr>
        <w:lastRenderedPageBreak/>
        <w:t>acceptance of current account deposits and saving account deposits by banks in compliance with the directions issued by the Reserve Bank of India or any other central bank in the relevant jurisdiction from time to time</w:t>
      </w:r>
      <w:r>
        <w:rPr>
          <w:sz w:val="24"/>
          <w:szCs w:val="24"/>
        </w:rPr>
        <w:t>;</w:t>
      </w:r>
    </w:p>
    <w:p w14:paraId="459EFE31" w14:textId="18584E5C" w:rsidR="00CB5AFA" w:rsidRDefault="00CB5AFA" w:rsidP="00CB5AFA">
      <w:pPr>
        <w:pStyle w:val="Decimaloutlinedc5"/>
        <w:numPr>
          <w:ilvl w:val="0"/>
          <w:numId w:val="0"/>
        </w:numPr>
        <w:ind w:left="2131"/>
        <w:rPr>
          <w:sz w:val="24"/>
          <w:szCs w:val="24"/>
        </w:rPr>
      </w:pPr>
      <w:r w:rsidRPr="00CB5AFA">
        <w:rPr>
          <w:sz w:val="24"/>
          <w:szCs w:val="24"/>
        </w:rPr>
        <w:t>Explanation:  For the purpose of clauses (c) and (d) above, acceptance of deposits includes payment of interest thereon.</w:t>
      </w:r>
      <w:r>
        <w:rPr>
          <w:sz w:val="24"/>
          <w:szCs w:val="24"/>
        </w:rPr>
        <w:t>]</w:t>
      </w:r>
    </w:p>
    <w:p w14:paraId="7F00D3E4" w14:textId="3C5325B7" w:rsidR="004A7AD3" w:rsidRDefault="00CB5AFA" w:rsidP="00B67A0B">
      <w:pPr>
        <w:pStyle w:val="Decimaloutlinedc5"/>
        <w:rPr>
          <w:sz w:val="24"/>
          <w:szCs w:val="24"/>
        </w:rPr>
      </w:pPr>
      <w:r w:rsidRPr="00CB5AFA">
        <w:rPr>
          <w:sz w:val="24"/>
          <w:szCs w:val="24"/>
        </w:rPr>
        <w:t>retail purchases from any listed entity or its subsidiary by its directors or its employees, without establishing a business relationship and at the terms which are uniformly applicable/offered to all employees and directors</w:t>
      </w:r>
      <w:r>
        <w:rPr>
          <w:sz w:val="24"/>
          <w:szCs w:val="24"/>
        </w:rPr>
        <w:t>;</w:t>
      </w:r>
    </w:p>
    <w:p w14:paraId="18EE4EC1" w14:textId="2CFC6B07" w:rsidR="00476DEB" w:rsidRDefault="00476DEB" w:rsidP="00B67A0B">
      <w:pPr>
        <w:pStyle w:val="Decimaloutlinedc5"/>
        <w:rPr>
          <w:sz w:val="24"/>
          <w:szCs w:val="24"/>
        </w:rPr>
      </w:pPr>
      <w:r>
        <w:rPr>
          <w:sz w:val="24"/>
          <w:szCs w:val="24"/>
        </w:rPr>
        <w:t>a</w:t>
      </w:r>
      <w:r w:rsidRPr="00476DEB">
        <w:rPr>
          <w:sz w:val="24"/>
          <w:szCs w:val="24"/>
        </w:rPr>
        <w:t xml:space="preserve">ny transaction that involves the providing of compensation, if approved by the Board, Nomination </w:t>
      </w:r>
      <w:r>
        <w:rPr>
          <w:sz w:val="24"/>
          <w:szCs w:val="24"/>
        </w:rPr>
        <w:t>and</w:t>
      </w:r>
      <w:r w:rsidRPr="00476DEB">
        <w:rPr>
          <w:sz w:val="24"/>
          <w:szCs w:val="24"/>
        </w:rPr>
        <w:t xml:space="preserve"> Remuneration Committee, to a Director or Key Managerial Personnel in connection with his or her duties to the Company or any of its subsidiaries or associates, including the reimbursement of reasonable business and travel expenses incurred in the ordinary course of business</w:t>
      </w:r>
      <w:r>
        <w:rPr>
          <w:sz w:val="24"/>
          <w:szCs w:val="24"/>
        </w:rPr>
        <w:t>;</w:t>
      </w:r>
      <w:r w:rsidRPr="00476DEB">
        <w:rPr>
          <w:sz w:val="24"/>
          <w:szCs w:val="24"/>
        </w:rPr>
        <w:t xml:space="preserve"> </w:t>
      </w:r>
    </w:p>
    <w:p w14:paraId="6C4EFAE7" w14:textId="6AA2AFCD" w:rsidR="00476DEB" w:rsidRDefault="00476DEB" w:rsidP="00B67A0B">
      <w:pPr>
        <w:pStyle w:val="Decimaloutlinedc5"/>
        <w:rPr>
          <w:sz w:val="24"/>
          <w:szCs w:val="24"/>
        </w:rPr>
      </w:pPr>
      <w:r>
        <w:rPr>
          <w:sz w:val="24"/>
          <w:szCs w:val="24"/>
        </w:rPr>
        <w:t>a</w:t>
      </w:r>
      <w:r w:rsidRPr="00476DEB">
        <w:rPr>
          <w:sz w:val="24"/>
          <w:szCs w:val="24"/>
        </w:rPr>
        <w:t>ny transaction in which the Related Party’s interest arises solely from ownership of securities issued by the Company and all holders of such securities receive the same benefits pro rata as the Related Party</w:t>
      </w:r>
      <w:r>
        <w:rPr>
          <w:sz w:val="24"/>
          <w:szCs w:val="24"/>
        </w:rPr>
        <w:t>;</w:t>
      </w:r>
    </w:p>
    <w:p w14:paraId="0C3DD131" w14:textId="77777777" w:rsidR="00476DEB" w:rsidRDefault="00476DEB" w:rsidP="00B67A0B">
      <w:pPr>
        <w:pStyle w:val="Decimaloutlinedc5"/>
        <w:rPr>
          <w:sz w:val="24"/>
          <w:szCs w:val="24"/>
        </w:rPr>
      </w:pPr>
      <w:r>
        <w:rPr>
          <w:sz w:val="24"/>
          <w:szCs w:val="24"/>
        </w:rPr>
        <w:t>a</w:t>
      </w:r>
      <w:r w:rsidRPr="00476DEB">
        <w:rPr>
          <w:sz w:val="24"/>
          <w:szCs w:val="24"/>
        </w:rPr>
        <w:t>ny scheme of loans/benefits availed by Key Managerial Personnel, which is applicable to all the employees of certain management level, which are as per the policy of Company</w:t>
      </w:r>
      <w:r>
        <w:rPr>
          <w:sz w:val="24"/>
          <w:szCs w:val="24"/>
        </w:rPr>
        <w:t>;</w:t>
      </w:r>
    </w:p>
    <w:p w14:paraId="4D9DB7A0" w14:textId="5AF757A9" w:rsidR="00476DEB" w:rsidRPr="00B41DE0" w:rsidRDefault="00476DEB" w:rsidP="00B67A0B">
      <w:pPr>
        <w:pStyle w:val="Decimaloutlinedc5"/>
        <w:rPr>
          <w:sz w:val="24"/>
          <w:szCs w:val="24"/>
        </w:rPr>
      </w:pPr>
      <w:r>
        <w:rPr>
          <w:sz w:val="24"/>
          <w:szCs w:val="24"/>
        </w:rPr>
        <w:t>t</w:t>
      </w:r>
      <w:r w:rsidRPr="00476DEB">
        <w:rPr>
          <w:sz w:val="24"/>
          <w:szCs w:val="24"/>
        </w:rPr>
        <w:t>ransactions that have been approved by the Board under the specific provisions of the</w:t>
      </w:r>
      <w:r>
        <w:rPr>
          <w:sz w:val="24"/>
          <w:szCs w:val="24"/>
        </w:rPr>
        <w:t xml:space="preserve"> Companies</w:t>
      </w:r>
      <w:r w:rsidRPr="00476DEB">
        <w:rPr>
          <w:sz w:val="24"/>
          <w:szCs w:val="24"/>
        </w:rPr>
        <w:t xml:space="preserve"> Act, e.g. inter-corporate deposits, borrowings, investments with or in wholly</w:t>
      </w:r>
      <w:r>
        <w:rPr>
          <w:sz w:val="24"/>
          <w:szCs w:val="24"/>
        </w:rPr>
        <w:t>-</w:t>
      </w:r>
      <w:r w:rsidRPr="00476DEB">
        <w:rPr>
          <w:sz w:val="24"/>
          <w:szCs w:val="24"/>
        </w:rPr>
        <w:t>owned subsidiaries or other Related Parties;</w:t>
      </w:r>
    </w:p>
    <w:p w14:paraId="20ED82B7" w14:textId="47B82F40" w:rsidR="00CC0184" w:rsidRDefault="004B75E3" w:rsidP="00B67A0B">
      <w:pPr>
        <w:pStyle w:val="ListParagraph"/>
        <w:spacing w:after="200"/>
        <w:ind w:left="426"/>
        <w:contextualSpacing w:val="0"/>
        <w:jc w:val="both"/>
        <w:textAlignment w:val="baseline"/>
        <w:rPr>
          <w:sz w:val="24"/>
          <w:szCs w:val="24"/>
        </w:rPr>
      </w:pPr>
      <w:r w:rsidRPr="00B41DE0">
        <w:rPr>
          <w:b/>
          <w:bCs/>
          <w:sz w:val="24"/>
          <w:szCs w:val="24"/>
        </w:rPr>
        <w:t>“Rules”</w:t>
      </w:r>
      <w:r w:rsidRPr="00B41DE0">
        <w:rPr>
          <w:sz w:val="24"/>
          <w:szCs w:val="24"/>
        </w:rPr>
        <w:t xml:space="preserve"> shall mean the </w:t>
      </w:r>
      <w:r w:rsidR="0076560C">
        <w:rPr>
          <w:sz w:val="24"/>
          <w:szCs w:val="24"/>
        </w:rPr>
        <w:t>r</w:t>
      </w:r>
      <w:r w:rsidRPr="00B41DE0">
        <w:rPr>
          <w:sz w:val="24"/>
          <w:szCs w:val="24"/>
        </w:rPr>
        <w:t>ules framed under the</w:t>
      </w:r>
      <w:r w:rsidR="0076560C">
        <w:rPr>
          <w:sz w:val="24"/>
          <w:szCs w:val="24"/>
        </w:rPr>
        <w:t xml:space="preserve"> Companies</w:t>
      </w:r>
      <w:r w:rsidRPr="00B41DE0">
        <w:rPr>
          <w:sz w:val="24"/>
          <w:szCs w:val="24"/>
        </w:rPr>
        <w:t xml:space="preserve"> Act, as amended from time to time;</w:t>
      </w:r>
    </w:p>
    <w:p w14:paraId="7544A4F9" w14:textId="4756130F" w:rsidR="004B75E3" w:rsidRPr="00CC0184" w:rsidRDefault="00CC0184" w:rsidP="00CC0184">
      <w:pPr>
        <w:pStyle w:val="ListParagraph"/>
        <w:spacing w:after="200"/>
        <w:ind w:left="426"/>
        <w:contextualSpacing w:val="0"/>
        <w:jc w:val="both"/>
        <w:textAlignment w:val="baseline"/>
        <w:rPr>
          <w:sz w:val="24"/>
          <w:szCs w:val="24"/>
        </w:rPr>
      </w:pPr>
      <w:r w:rsidRPr="00B41DE0">
        <w:rPr>
          <w:b/>
          <w:bCs/>
          <w:sz w:val="24"/>
          <w:szCs w:val="24"/>
        </w:rPr>
        <w:t>“SEBI Listing Regulations”</w:t>
      </w:r>
      <w:r w:rsidRPr="00B41DE0">
        <w:rPr>
          <w:sz w:val="24"/>
          <w:szCs w:val="24"/>
        </w:rPr>
        <w:t xml:space="preserve"> shall mean the Securities and Exchange Board of India (Listing Obligations and Disclosure Requirements) Regulations, 2015, as amended from time to time;</w:t>
      </w:r>
    </w:p>
    <w:p w14:paraId="6579EC86" w14:textId="776383C8" w:rsidR="004B75E3" w:rsidRPr="00B41DE0" w:rsidRDefault="004B75E3" w:rsidP="00B67A0B">
      <w:pPr>
        <w:pStyle w:val="ListParagraph"/>
        <w:spacing w:after="200"/>
        <w:ind w:left="426"/>
        <w:contextualSpacing w:val="0"/>
        <w:jc w:val="both"/>
        <w:textAlignment w:val="baseline"/>
        <w:rPr>
          <w:sz w:val="24"/>
          <w:szCs w:val="24"/>
        </w:rPr>
      </w:pPr>
      <w:r w:rsidRPr="00B41DE0">
        <w:rPr>
          <w:b/>
          <w:bCs/>
          <w:sz w:val="24"/>
          <w:szCs w:val="24"/>
        </w:rPr>
        <w:t>“Specified RPT”</w:t>
      </w:r>
      <w:r w:rsidRPr="00B41DE0">
        <w:rPr>
          <w:sz w:val="24"/>
          <w:szCs w:val="24"/>
        </w:rPr>
        <w:t xml:space="preserve"> shall have the meaning as ascribed to it in Clause </w:t>
      </w:r>
      <w:r w:rsidR="00275C79">
        <w:rPr>
          <w:sz w:val="24"/>
          <w:szCs w:val="24"/>
        </w:rPr>
        <w:t>4.3.6</w:t>
      </w:r>
      <w:r w:rsidRPr="00B41DE0">
        <w:rPr>
          <w:sz w:val="24"/>
          <w:szCs w:val="24"/>
        </w:rPr>
        <w:t xml:space="preserve"> hereof.</w:t>
      </w:r>
    </w:p>
    <w:p w14:paraId="22524916" w14:textId="63C17971" w:rsidR="004B75E3" w:rsidRPr="00B41DE0" w:rsidRDefault="004B75E3" w:rsidP="00B67A0B">
      <w:pPr>
        <w:pStyle w:val="Decimaloutlinedc1"/>
        <w:rPr>
          <w:sz w:val="24"/>
          <w:szCs w:val="24"/>
        </w:rPr>
      </w:pPr>
      <w:bookmarkStart w:id="4" w:name="_Toc199191501"/>
      <w:r w:rsidRPr="00B41DE0">
        <w:rPr>
          <w:sz w:val="24"/>
          <w:szCs w:val="24"/>
        </w:rPr>
        <w:t>Interpretation</w:t>
      </w:r>
      <w:bookmarkEnd w:id="4"/>
    </w:p>
    <w:p w14:paraId="49CAA031" w14:textId="547E7BEC" w:rsidR="004B75E3" w:rsidRPr="00B41DE0" w:rsidRDefault="004B75E3" w:rsidP="00B67A0B">
      <w:pPr>
        <w:spacing w:after="200"/>
        <w:ind w:left="426"/>
        <w:jc w:val="both"/>
        <w:textAlignment w:val="baseline"/>
        <w:rPr>
          <w:sz w:val="24"/>
          <w:szCs w:val="24"/>
        </w:rPr>
      </w:pPr>
      <w:r w:rsidRPr="00B41DE0">
        <w:rPr>
          <w:sz w:val="24"/>
          <w:szCs w:val="24"/>
        </w:rPr>
        <w:t>Any words used in this Policy but not defined herein shall have the same meaning prescribed to it in the Companies Act,</w:t>
      </w:r>
      <w:r w:rsidR="00A5518C">
        <w:rPr>
          <w:sz w:val="24"/>
          <w:szCs w:val="24"/>
        </w:rPr>
        <w:t xml:space="preserve"> the Rules,</w:t>
      </w:r>
      <w:r w:rsidRPr="00B41DE0">
        <w:rPr>
          <w:sz w:val="24"/>
          <w:szCs w:val="24"/>
        </w:rPr>
        <w:t xml:space="preserve"> the Securities and Exchange Board of India Act, 1992, as amended, or rules and regulations made thereunder including the </w:t>
      </w:r>
      <w:r w:rsidR="000F21D1" w:rsidRPr="00B41DE0">
        <w:rPr>
          <w:sz w:val="24"/>
          <w:szCs w:val="24"/>
        </w:rPr>
        <w:t xml:space="preserve">SEBI </w:t>
      </w:r>
      <w:r w:rsidRPr="00B41DE0">
        <w:rPr>
          <w:sz w:val="24"/>
          <w:szCs w:val="24"/>
        </w:rPr>
        <w:t>Listing Regulations, the applicable accounting standards or any other relevant legislation/law applicable to the Company.</w:t>
      </w:r>
    </w:p>
    <w:p w14:paraId="0928495B" w14:textId="178BC600" w:rsidR="004B75E3" w:rsidRPr="00B41DE0" w:rsidRDefault="004B75E3" w:rsidP="00B67A0B">
      <w:pPr>
        <w:spacing w:after="200"/>
        <w:ind w:left="426"/>
        <w:jc w:val="both"/>
        <w:textAlignment w:val="baseline"/>
        <w:rPr>
          <w:sz w:val="24"/>
          <w:szCs w:val="24"/>
        </w:rPr>
      </w:pPr>
      <w:r w:rsidRPr="00B41DE0">
        <w:rPr>
          <w:sz w:val="24"/>
          <w:szCs w:val="24"/>
        </w:rPr>
        <w:t xml:space="preserve">In case of any dispute or difference upon the meaning/interpretation of any word or provision in this </w:t>
      </w:r>
      <w:r w:rsidR="00275C79">
        <w:rPr>
          <w:sz w:val="24"/>
          <w:szCs w:val="24"/>
        </w:rPr>
        <w:t>P</w:t>
      </w:r>
      <w:r w:rsidRPr="00B41DE0">
        <w:rPr>
          <w:sz w:val="24"/>
          <w:szCs w:val="24"/>
        </w:rPr>
        <w:t>olicy, the same shall be referred to the Audit Committee and the decision of the Audit Committee shall be final. In interpreting such term/provision, the Audit Committee may seek the help of any of the officers of the Company or an external expert as it deems fit.</w:t>
      </w:r>
    </w:p>
    <w:p w14:paraId="371DBCD2" w14:textId="635A4908" w:rsidR="00F457B5" w:rsidRPr="00B41DE0" w:rsidRDefault="000F21D1" w:rsidP="00B67A0B">
      <w:pPr>
        <w:pStyle w:val="Decimaloutlinedc1"/>
        <w:rPr>
          <w:sz w:val="24"/>
          <w:szCs w:val="24"/>
        </w:rPr>
      </w:pPr>
      <w:bookmarkStart w:id="5" w:name="_Toc199191502"/>
      <w:r w:rsidRPr="00B41DE0">
        <w:rPr>
          <w:sz w:val="24"/>
          <w:szCs w:val="24"/>
        </w:rPr>
        <w:t>Objectives</w:t>
      </w:r>
      <w:bookmarkEnd w:id="5"/>
    </w:p>
    <w:p w14:paraId="62D2A2FA" w14:textId="73283C9D" w:rsidR="00893AB1" w:rsidRPr="00893AB1" w:rsidRDefault="00893AB1" w:rsidP="00893AB1">
      <w:pPr>
        <w:pStyle w:val="Decimaloutlinedc2"/>
        <w:rPr>
          <w:b w:val="0"/>
          <w:bCs/>
          <w:sz w:val="24"/>
          <w:szCs w:val="24"/>
        </w:rPr>
      </w:pPr>
      <w:bookmarkStart w:id="6" w:name="_Toc83645571"/>
      <w:r w:rsidRPr="00893AB1">
        <w:rPr>
          <w:b w:val="0"/>
          <w:bCs/>
          <w:sz w:val="24"/>
          <w:szCs w:val="24"/>
        </w:rPr>
        <w:t xml:space="preserve">Regulation 23 of the </w:t>
      </w:r>
      <w:r>
        <w:rPr>
          <w:b w:val="0"/>
          <w:bCs/>
          <w:sz w:val="24"/>
          <w:szCs w:val="24"/>
        </w:rPr>
        <w:t xml:space="preserve">SEBI Listing Regulations </w:t>
      </w:r>
      <w:r w:rsidRPr="00893AB1">
        <w:rPr>
          <w:b w:val="0"/>
          <w:bCs/>
          <w:sz w:val="24"/>
          <w:szCs w:val="24"/>
        </w:rPr>
        <w:t>require the Company to formulate a policy on materiality of related party transactions and also on dealing with related party transactions including clear threshold limits duly approved by the board of directors.</w:t>
      </w:r>
    </w:p>
    <w:p w14:paraId="0AE19374" w14:textId="30B04CDF" w:rsidR="002C499C" w:rsidRPr="00893AB1" w:rsidRDefault="00893AB1" w:rsidP="00893AB1">
      <w:pPr>
        <w:pStyle w:val="Decimaloutlinedc2"/>
        <w:rPr>
          <w:b w:val="0"/>
          <w:bCs/>
          <w:sz w:val="24"/>
          <w:szCs w:val="24"/>
        </w:rPr>
      </w:pPr>
      <w:r w:rsidRPr="00893AB1">
        <w:rPr>
          <w:b w:val="0"/>
          <w:bCs/>
          <w:sz w:val="24"/>
          <w:szCs w:val="24"/>
        </w:rPr>
        <w:lastRenderedPageBreak/>
        <w:t xml:space="preserve">Accordingly, the </w:t>
      </w:r>
      <w:r>
        <w:rPr>
          <w:b w:val="0"/>
          <w:bCs/>
          <w:sz w:val="24"/>
          <w:szCs w:val="24"/>
        </w:rPr>
        <w:t xml:space="preserve">Board </w:t>
      </w:r>
      <w:r w:rsidRPr="00893AB1">
        <w:rPr>
          <w:b w:val="0"/>
          <w:bCs/>
          <w:sz w:val="24"/>
          <w:szCs w:val="24"/>
        </w:rPr>
        <w:t xml:space="preserve">has adopted the following </w:t>
      </w:r>
      <w:r>
        <w:rPr>
          <w:b w:val="0"/>
          <w:bCs/>
          <w:sz w:val="24"/>
          <w:szCs w:val="24"/>
        </w:rPr>
        <w:t>P</w:t>
      </w:r>
      <w:r w:rsidRPr="00893AB1">
        <w:rPr>
          <w:b w:val="0"/>
          <w:bCs/>
          <w:sz w:val="24"/>
          <w:szCs w:val="24"/>
        </w:rPr>
        <w:t xml:space="preserve">olicy with regard to related party transactions. </w:t>
      </w:r>
      <w:r>
        <w:rPr>
          <w:b w:val="0"/>
          <w:bCs/>
          <w:sz w:val="24"/>
          <w:szCs w:val="24"/>
        </w:rPr>
        <w:t xml:space="preserve">The Policy has been prepared in accordance with Section 177 and Section 188 of the Companies Act and applicable provisions of the SEBI Listing Regulations. </w:t>
      </w:r>
      <w:r w:rsidRPr="00893AB1">
        <w:rPr>
          <w:b w:val="0"/>
          <w:bCs/>
          <w:sz w:val="24"/>
          <w:szCs w:val="24"/>
        </w:rPr>
        <w:t xml:space="preserve">The Audit Committee will review this </w:t>
      </w:r>
      <w:r>
        <w:rPr>
          <w:b w:val="0"/>
          <w:bCs/>
          <w:sz w:val="24"/>
          <w:szCs w:val="24"/>
        </w:rPr>
        <w:t>P</w:t>
      </w:r>
      <w:r w:rsidRPr="00893AB1">
        <w:rPr>
          <w:b w:val="0"/>
          <w:bCs/>
          <w:sz w:val="24"/>
          <w:szCs w:val="24"/>
        </w:rPr>
        <w:t>olicy on an annual basis and propose any modifications to the Board for approval.</w:t>
      </w:r>
    </w:p>
    <w:p w14:paraId="62A5B299" w14:textId="7A7E75A0" w:rsidR="00DC3B02" w:rsidRPr="00B41DE0" w:rsidRDefault="00DC3B02" w:rsidP="00B67A0B">
      <w:pPr>
        <w:pStyle w:val="Decimaloutlinedc1"/>
        <w:rPr>
          <w:sz w:val="24"/>
          <w:szCs w:val="24"/>
        </w:rPr>
      </w:pPr>
      <w:bookmarkStart w:id="7" w:name="_Toc199191503"/>
      <w:bookmarkEnd w:id="6"/>
      <w:r w:rsidRPr="00B41DE0">
        <w:rPr>
          <w:sz w:val="24"/>
          <w:szCs w:val="24"/>
        </w:rPr>
        <w:t>Procedure</w:t>
      </w:r>
      <w:bookmarkEnd w:id="7"/>
    </w:p>
    <w:p w14:paraId="09C184C2" w14:textId="336553CF" w:rsidR="00DC3B02" w:rsidRPr="00C21C3D" w:rsidRDefault="00DC3B02" w:rsidP="00B67A0B">
      <w:pPr>
        <w:pStyle w:val="Decimaloutlinedc2"/>
        <w:rPr>
          <w:sz w:val="24"/>
          <w:szCs w:val="24"/>
        </w:rPr>
      </w:pPr>
      <w:r w:rsidRPr="00B41DE0">
        <w:rPr>
          <w:sz w:val="24"/>
          <w:szCs w:val="24"/>
        </w:rPr>
        <w:t>Identification of Related Parties</w:t>
      </w:r>
      <w:r w:rsidRPr="00B41DE0">
        <w:rPr>
          <w:b w:val="0"/>
          <w:sz w:val="24"/>
          <w:szCs w:val="24"/>
        </w:rPr>
        <w:t xml:space="preserve"> </w:t>
      </w:r>
    </w:p>
    <w:p w14:paraId="500F0F4D" w14:textId="35DB7F2D" w:rsidR="00C21C3D" w:rsidRPr="00D963F2" w:rsidRDefault="00C21C3D" w:rsidP="00D963F2">
      <w:pPr>
        <w:pStyle w:val="Decimaloutlinedc3"/>
        <w:rPr>
          <w:sz w:val="24"/>
          <w:szCs w:val="24"/>
        </w:rPr>
      </w:pPr>
      <w:r w:rsidRPr="00C21C3D">
        <w:rPr>
          <w:sz w:val="24"/>
          <w:szCs w:val="24"/>
        </w:rPr>
        <w:t xml:space="preserve">Every </w:t>
      </w:r>
      <w:r w:rsidR="00722FE1">
        <w:rPr>
          <w:sz w:val="24"/>
          <w:szCs w:val="24"/>
        </w:rPr>
        <w:t>Director</w:t>
      </w:r>
      <w:r w:rsidR="00874815">
        <w:rPr>
          <w:sz w:val="24"/>
          <w:szCs w:val="24"/>
        </w:rPr>
        <w:t xml:space="preserve"> and Key Managerial Personnel</w:t>
      </w:r>
      <w:r w:rsidR="00722FE1">
        <w:rPr>
          <w:sz w:val="24"/>
          <w:szCs w:val="24"/>
        </w:rPr>
        <w:t xml:space="preserve"> </w:t>
      </w:r>
      <w:r w:rsidRPr="00C21C3D">
        <w:rPr>
          <w:sz w:val="24"/>
          <w:szCs w:val="24"/>
        </w:rPr>
        <w:t>shall at the beginning of the financial year provide information by way of written notice to the Company regarding his</w:t>
      </w:r>
      <w:r w:rsidR="00874815">
        <w:rPr>
          <w:sz w:val="24"/>
          <w:szCs w:val="24"/>
        </w:rPr>
        <w:t>/her</w:t>
      </w:r>
      <w:r w:rsidRPr="00C21C3D">
        <w:rPr>
          <w:sz w:val="24"/>
          <w:szCs w:val="24"/>
        </w:rPr>
        <w:t xml:space="preserve"> concern or interest in the entity with specific concern to parties which may be considered as Related Part</w:t>
      </w:r>
      <w:r w:rsidR="00D963F2">
        <w:rPr>
          <w:sz w:val="24"/>
          <w:szCs w:val="24"/>
        </w:rPr>
        <w:t>ies</w:t>
      </w:r>
      <w:r w:rsidRPr="00C21C3D">
        <w:rPr>
          <w:sz w:val="24"/>
          <w:szCs w:val="24"/>
        </w:rPr>
        <w:t xml:space="preserve"> with respect to the Company and shall also provide the list of Relatives wh</w:t>
      </w:r>
      <w:r w:rsidR="00D963F2">
        <w:rPr>
          <w:sz w:val="24"/>
          <w:szCs w:val="24"/>
        </w:rPr>
        <w:t>ich</w:t>
      </w:r>
      <w:r w:rsidRPr="00C21C3D">
        <w:rPr>
          <w:sz w:val="24"/>
          <w:szCs w:val="24"/>
        </w:rPr>
        <w:t xml:space="preserve"> are regarded as Related Part</w:t>
      </w:r>
      <w:r w:rsidR="00D963F2">
        <w:rPr>
          <w:sz w:val="24"/>
          <w:szCs w:val="24"/>
        </w:rPr>
        <w:t>ies</w:t>
      </w:r>
      <w:r w:rsidRPr="00C21C3D">
        <w:rPr>
          <w:sz w:val="24"/>
          <w:szCs w:val="24"/>
        </w:rPr>
        <w:t xml:space="preserve"> as per this Policy.</w:t>
      </w:r>
    </w:p>
    <w:p w14:paraId="6EE8B709" w14:textId="6844AABD" w:rsidR="00C21C3D" w:rsidRPr="00D963F2" w:rsidRDefault="00C21C3D" w:rsidP="004344DD">
      <w:pPr>
        <w:pStyle w:val="Decimaloutlinedc3"/>
        <w:rPr>
          <w:sz w:val="24"/>
          <w:szCs w:val="24"/>
        </w:rPr>
      </w:pPr>
      <w:r w:rsidRPr="00D963F2">
        <w:rPr>
          <w:sz w:val="24"/>
          <w:szCs w:val="24"/>
        </w:rPr>
        <w:t>Directors are also required to provide the information regarding their engagement with other entit</w:t>
      </w:r>
      <w:r w:rsidR="00722FE1">
        <w:rPr>
          <w:sz w:val="24"/>
          <w:szCs w:val="24"/>
        </w:rPr>
        <w:t>ies</w:t>
      </w:r>
      <w:r w:rsidRPr="00D963F2">
        <w:rPr>
          <w:sz w:val="24"/>
          <w:szCs w:val="24"/>
        </w:rPr>
        <w:t xml:space="preserve"> during the financial year which may be regarded as </w:t>
      </w:r>
      <w:r w:rsidR="00874815">
        <w:rPr>
          <w:sz w:val="24"/>
          <w:szCs w:val="24"/>
        </w:rPr>
        <w:t>a R</w:t>
      </w:r>
      <w:r w:rsidRPr="00D963F2">
        <w:rPr>
          <w:sz w:val="24"/>
          <w:szCs w:val="24"/>
        </w:rPr>
        <w:t xml:space="preserve">elated </w:t>
      </w:r>
      <w:r w:rsidR="00874815">
        <w:rPr>
          <w:sz w:val="24"/>
          <w:szCs w:val="24"/>
        </w:rPr>
        <w:t>P</w:t>
      </w:r>
      <w:r w:rsidRPr="00D963F2">
        <w:rPr>
          <w:sz w:val="24"/>
          <w:szCs w:val="24"/>
        </w:rPr>
        <w:t>arty according to this Policy.</w:t>
      </w:r>
    </w:p>
    <w:p w14:paraId="78B7ED3E" w14:textId="0927E871" w:rsidR="00C21C3D" w:rsidRPr="00722FE1" w:rsidRDefault="00C21C3D" w:rsidP="00722FE1">
      <w:pPr>
        <w:pStyle w:val="Decimaloutlinedc3"/>
        <w:rPr>
          <w:sz w:val="24"/>
          <w:szCs w:val="24"/>
        </w:rPr>
      </w:pPr>
      <w:r w:rsidRPr="00C21C3D">
        <w:rPr>
          <w:sz w:val="24"/>
          <w:szCs w:val="24"/>
        </w:rPr>
        <w:t xml:space="preserve">Each </w:t>
      </w:r>
      <w:r w:rsidR="00722FE1">
        <w:rPr>
          <w:sz w:val="24"/>
          <w:szCs w:val="24"/>
        </w:rPr>
        <w:t>D</w:t>
      </w:r>
      <w:r w:rsidRPr="00C21C3D">
        <w:rPr>
          <w:sz w:val="24"/>
          <w:szCs w:val="24"/>
        </w:rPr>
        <w:t>irector</w:t>
      </w:r>
      <w:r w:rsidR="00874815">
        <w:rPr>
          <w:sz w:val="24"/>
          <w:szCs w:val="24"/>
        </w:rPr>
        <w:t xml:space="preserve"> and</w:t>
      </w:r>
      <w:r w:rsidRPr="00C21C3D">
        <w:rPr>
          <w:sz w:val="24"/>
          <w:szCs w:val="24"/>
        </w:rPr>
        <w:t xml:space="preserve"> </w:t>
      </w:r>
      <w:r w:rsidR="00722FE1">
        <w:rPr>
          <w:sz w:val="24"/>
          <w:szCs w:val="24"/>
        </w:rPr>
        <w:t>Key Managerial Personnel</w:t>
      </w:r>
      <w:r w:rsidRPr="00C21C3D">
        <w:rPr>
          <w:sz w:val="24"/>
          <w:szCs w:val="24"/>
        </w:rPr>
        <w:t xml:space="preserve"> is responsible for providing notice to the Company or Audit Committee of any potential Related Party Transaction involving him or her or</w:t>
      </w:r>
      <w:r w:rsidR="00874815">
        <w:rPr>
          <w:sz w:val="24"/>
          <w:szCs w:val="24"/>
        </w:rPr>
        <w:t>,</w:t>
      </w:r>
      <w:r w:rsidRPr="00C21C3D">
        <w:rPr>
          <w:sz w:val="24"/>
          <w:szCs w:val="24"/>
        </w:rPr>
        <w:t xml:space="preserve"> his or her Relative, including any additional information about the transaction that the Board/Audit Committee may reasonably request. </w:t>
      </w:r>
      <w:r w:rsidR="00722FE1">
        <w:rPr>
          <w:sz w:val="24"/>
          <w:szCs w:val="24"/>
        </w:rPr>
        <w:t xml:space="preserve">The </w:t>
      </w:r>
      <w:r w:rsidRPr="00C21C3D">
        <w:rPr>
          <w:sz w:val="24"/>
          <w:szCs w:val="24"/>
        </w:rPr>
        <w:t>Audit Committee will determine whether a transaction does constitute a Related Party Transaction requiring compliance with this Policy.</w:t>
      </w:r>
    </w:p>
    <w:p w14:paraId="24947FDB" w14:textId="566A2044" w:rsidR="00C21C3D" w:rsidRPr="00722FE1" w:rsidRDefault="00C21C3D" w:rsidP="00722FE1">
      <w:pPr>
        <w:pStyle w:val="Decimaloutlinedc3"/>
        <w:rPr>
          <w:sz w:val="24"/>
          <w:szCs w:val="24"/>
        </w:rPr>
      </w:pPr>
      <w:r w:rsidRPr="00C21C3D">
        <w:rPr>
          <w:sz w:val="24"/>
          <w:szCs w:val="24"/>
        </w:rPr>
        <w:t xml:space="preserve">Each </w:t>
      </w:r>
      <w:r w:rsidR="00722FE1">
        <w:rPr>
          <w:sz w:val="24"/>
          <w:szCs w:val="24"/>
        </w:rPr>
        <w:t>D</w:t>
      </w:r>
      <w:r w:rsidRPr="00C21C3D">
        <w:rPr>
          <w:sz w:val="24"/>
          <w:szCs w:val="24"/>
        </w:rPr>
        <w:t>irector</w:t>
      </w:r>
      <w:r w:rsidR="00874815">
        <w:rPr>
          <w:sz w:val="24"/>
          <w:szCs w:val="24"/>
        </w:rPr>
        <w:t xml:space="preserve"> and</w:t>
      </w:r>
      <w:r w:rsidR="00722FE1">
        <w:rPr>
          <w:sz w:val="24"/>
          <w:szCs w:val="24"/>
        </w:rPr>
        <w:t xml:space="preserve"> Key Managerial Personnel</w:t>
      </w:r>
      <w:r w:rsidRPr="00C21C3D">
        <w:rPr>
          <w:sz w:val="24"/>
          <w:szCs w:val="24"/>
        </w:rPr>
        <w:t xml:space="preserve"> shall make an annual declaration as per the provisions of the Companies Act and the </w:t>
      </w:r>
      <w:r w:rsidR="00722FE1">
        <w:rPr>
          <w:sz w:val="24"/>
          <w:szCs w:val="24"/>
        </w:rPr>
        <w:t>R</w:t>
      </w:r>
      <w:r w:rsidRPr="00C21C3D">
        <w:rPr>
          <w:sz w:val="24"/>
          <w:szCs w:val="24"/>
        </w:rPr>
        <w:t xml:space="preserve">ules with respect to Related Party </w:t>
      </w:r>
      <w:r w:rsidR="00722FE1">
        <w:rPr>
          <w:sz w:val="24"/>
          <w:szCs w:val="24"/>
        </w:rPr>
        <w:t>T</w:t>
      </w:r>
      <w:r w:rsidRPr="00C21C3D">
        <w:rPr>
          <w:sz w:val="24"/>
          <w:szCs w:val="24"/>
        </w:rPr>
        <w:t xml:space="preserve">ransactions to the Company in the last month ending before the financial year and this declaration shall be placed before the Audit Committee and the Board at their first meeting held at the succeeding financial year. </w:t>
      </w:r>
    </w:p>
    <w:p w14:paraId="7A10BB27" w14:textId="0C97A1F1" w:rsidR="00C21C3D" w:rsidRPr="00C21C3D" w:rsidRDefault="00C21C3D" w:rsidP="00C21C3D">
      <w:pPr>
        <w:pStyle w:val="Decimaloutlinedc3"/>
        <w:rPr>
          <w:sz w:val="24"/>
          <w:szCs w:val="24"/>
        </w:rPr>
      </w:pPr>
      <w:r w:rsidRPr="00C21C3D">
        <w:rPr>
          <w:sz w:val="24"/>
          <w:szCs w:val="24"/>
        </w:rPr>
        <w:t>Any change in the list of Relatives shall be intimated by the Directors and K</w:t>
      </w:r>
      <w:r w:rsidR="00874815">
        <w:rPr>
          <w:sz w:val="24"/>
          <w:szCs w:val="24"/>
        </w:rPr>
        <w:t>ey Managerial Personnel</w:t>
      </w:r>
      <w:r w:rsidRPr="00C21C3D">
        <w:rPr>
          <w:sz w:val="24"/>
          <w:szCs w:val="24"/>
        </w:rPr>
        <w:t xml:space="preserve"> by way of a fresh declaration to the Company.</w:t>
      </w:r>
    </w:p>
    <w:p w14:paraId="2DFE0E77" w14:textId="0F6CA7A8" w:rsidR="00DC3B02" w:rsidRPr="00B41DE0" w:rsidRDefault="00DC3B02" w:rsidP="00B67A0B">
      <w:pPr>
        <w:pStyle w:val="Decimaloutlinedc2"/>
        <w:rPr>
          <w:sz w:val="24"/>
          <w:szCs w:val="24"/>
        </w:rPr>
      </w:pPr>
      <w:r w:rsidRPr="00B41DE0">
        <w:rPr>
          <w:sz w:val="24"/>
          <w:szCs w:val="24"/>
        </w:rPr>
        <w:t>Material Related Party Transaction</w:t>
      </w:r>
    </w:p>
    <w:p w14:paraId="067DA707" w14:textId="1BD5B186" w:rsidR="00DC3B02" w:rsidRPr="00B41DE0" w:rsidRDefault="00DC3B02" w:rsidP="00B67A0B">
      <w:pPr>
        <w:spacing w:after="200"/>
        <w:ind w:left="993"/>
        <w:jc w:val="both"/>
        <w:textAlignment w:val="baseline"/>
        <w:rPr>
          <w:rFonts w:eastAsia="Arial"/>
          <w:sz w:val="24"/>
          <w:szCs w:val="24"/>
        </w:rPr>
      </w:pPr>
      <w:r w:rsidRPr="00B41DE0">
        <w:rPr>
          <w:rFonts w:eastAsia="Arial"/>
          <w:sz w:val="24"/>
          <w:szCs w:val="24"/>
        </w:rPr>
        <w:t>A Related Party Transaction shall be considered material if the transaction or transactions</w:t>
      </w:r>
      <w:r w:rsidR="00E67F27" w:rsidRPr="00B41DE0">
        <w:rPr>
          <w:rFonts w:eastAsia="Arial"/>
          <w:sz w:val="24"/>
          <w:szCs w:val="24"/>
        </w:rPr>
        <w:t xml:space="preserve"> </w:t>
      </w:r>
      <w:r w:rsidRPr="00B41DE0">
        <w:rPr>
          <w:rFonts w:eastAsia="Arial"/>
          <w:sz w:val="24"/>
          <w:szCs w:val="24"/>
        </w:rPr>
        <w:t>to be entered into individually or taken together with previous transactions during a financial year, exceed</w:t>
      </w:r>
      <w:r w:rsidR="00BF79EE">
        <w:rPr>
          <w:rFonts w:eastAsia="Arial"/>
          <w:sz w:val="24"/>
          <w:szCs w:val="24"/>
        </w:rPr>
        <w:t xml:space="preserve"> </w:t>
      </w:r>
      <w:r w:rsidR="000939A6">
        <w:rPr>
          <w:rFonts w:eastAsia="Arial"/>
          <w:sz w:val="24"/>
          <w:szCs w:val="24"/>
        </w:rPr>
        <w:t xml:space="preserve">rupees </w:t>
      </w:r>
      <w:r w:rsidR="00BF79EE">
        <w:rPr>
          <w:rFonts w:eastAsia="Arial"/>
          <w:sz w:val="24"/>
          <w:szCs w:val="24"/>
        </w:rPr>
        <w:t>one thousand crore or 10</w:t>
      </w:r>
      <w:r w:rsidRPr="00B41DE0">
        <w:rPr>
          <w:rFonts w:eastAsia="Arial"/>
          <w:sz w:val="24"/>
          <w:szCs w:val="24"/>
        </w:rPr>
        <w:t xml:space="preserve"> </w:t>
      </w:r>
      <w:r w:rsidR="00BF79EE">
        <w:rPr>
          <w:rFonts w:eastAsia="Arial"/>
          <w:sz w:val="24"/>
          <w:szCs w:val="24"/>
        </w:rPr>
        <w:t>(</w:t>
      </w:r>
      <w:r w:rsidR="74022C0B" w:rsidRPr="00B41DE0">
        <w:rPr>
          <w:rFonts w:eastAsia="Arial"/>
          <w:sz w:val="24"/>
          <w:szCs w:val="24"/>
        </w:rPr>
        <w:t>ten</w:t>
      </w:r>
      <w:r w:rsidR="00BF79EE">
        <w:rPr>
          <w:rFonts w:eastAsia="Arial"/>
          <w:sz w:val="24"/>
          <w:szCs w:val="24"/>
        </w:rPr>
        <w:t>)</w:t>
      </w:r>
      <w:r w:rsidR="775F3805" w:rsidRPr="00B41DE0">
        <w:rPr>
          <w:rFonts w:eastAsia="Arial"/>
          <w:sz w:val="24"/>
          <w:szCs w:val="24"/>
        </w:rPr>
        <w:t xml:space="preserve"> per cent</w:t>
      </w:r>
      <w:r w:rsidRPr="00B41DE0">
        <w:rPr>
          <w:rFonts w:eastAsia="Arial"/>
          <w:sz w:val="24"/>
          <w:szCs w:val="24"/>
        </w:rPr>
        <w:t xml:space="preserve"> of the annual consolidated turnover of the Company as per the</w:t>
      </w:r>
      <w:r w:rsidR="00E67F27" w:rsidRPr="00B41DE0">
        <w:rPr>
          <w:rFonts w:eastAsia="Arial"/>
          <w:sz w:val="24"/>
          <w:szCs w:val="24"/>
        </w:rPr>
        <w:t xml:space="preserve"> </w:t>
      </w:r>
      <w:r w:rsidRPr="00B41DE0">
        <w:rPr>
          <w:rFonts w:eastAsia="Arial"/>
          <w:sz w:val="24"/>
          <w:szCs w:val="24"/>
        </w:rPr>
        <w:t xml:space="preserve">last audited financial statements of the Company. Notwithstanding the above, a transaction involving payments made to a Related Party with respect to brand usage or royalty shall be considered material if the transaction(s) to be entered into individually or taken together with previous transaction(s) during a financial year, exceed </w:t>
      </w:r>
      <w:r w:rsidR="00BF79EE">
        <w:rPr>
          <w:rFonts w:eastAsia="Arial"/>
          <w:sz w:val="24"/>
          <w:szCs w:val="24"/>
        </w:rPr>
        <w:t>5 (</w:t>
      </w:r>
      <w:r w:rsidRPr="00B41DE0">
        <w:rPr>
          <w:rFonts w:eastAsia="Arial"/>
          <w:sz w:val="24"/>
          <w:szCs w:val="24"/>
        </w:rPr>
        <w:t>five</w:t>
      </w:r>
      <w:r w:rsidR="00BF79EE">
        <w:rPr>
          <w:rFonts w:eastAsia="Arial"/>
          <w:sz w:val="24"/>
          <w:szCs w:val="24"/>
        </w:rPr>
        <w:t>)</w:t>
      </w:r>
      <w:r w:rsidRPr="00B41DE0">
        <w:rPr>
          <w:rFonts w:eastAsia="Arial"/>
          <w:sz w:val="24"/>
          <w:szCs w:val="24"/>
        </w:rPr>
        <w:t xml:space="preserve"> per cent</w:t>
      </w:r>
      <w:r w:rsidR="5717CA1A" w:rsidRPr="00B41DE0">
        <w:rPr>
          <w:rFonts w:eastAsia="Arial"/>
          <w:sz w:val="24"/>
          <w:szCs w:val="24"/>
        </w:rPr>
        <w:t xml:space="preserve"> </w:t>
      </w:r>
      <w:r w:rsidRPr="00B41DE0">
        <w:rPr>
          <w:rFonts w:eastAsia="Arial"/>
          <w:sz w:val="24"/>
          <w:szCs w:val="24"/>
        </w:rPr>
        <w:t xml:space="preserve">of the annual consolidated turnover of the Company as per the last audited financial statements of the Company. </w:t>
      </w:r>
    </w:p>
    <w:p w14:paraId="6F34B3D9" w14:textId="06A26A89" w:rsidR="00DC3B02" w:rsidRPr="00B41DE0" w:rsidRDefault="00DC3B02" w:rsidP="00B67A0B">
      <w:pPr>
        <w:pStyle w:val="Decimaloutlinedc2"/>
        <w:rPr>
          <w:sz w:val="24"/>
          <w:szCs w:val="24"/>
        </w:rPr>
      </w:pPr>
      <w:r w:rsidRPr="00B41DE0">
        <w:rPr>
          <w:sz w:val="24"/>
          <w:szCs w:val="24"/>
        </w:rPr>
        <w:t xml:space="preserve">Review and approval of Related Party Transactions </w:t>
      </w:r>
    </w:p>
    <w:p w14:paraId="53E483A4" w14:textId="32D8CE2D" w:rsidR="00DC3B02" w:rsidRPr="00B41DE0" w:rsidRDefault="00DC3B02" w:rsidP="00B67A0B">
      <w:pPr>
        <w:pStyle w:val="Decimaloutlinedc3"/>
        <w:rPr>
          <w:sz w:val="24"/>
          <w:szCs w:val="24"/>
        </w:rPr>
      </w:pPr>
      <w:r w:rsidRPr="00B41DE0">
        <w:rPr>
          <w:sz w:val="24"/>
          <w:szCs w:val="24"/>
        </w:rPr>
        <w:lastRenderedPageBreak/>
        <w:t xml:space="preserve">All Related Party Transactions shall require prior approval of the Audit Committee. It is clarified that any </w:t>
      </w:r>
      <w:r w:rsidR="00BF79EE">
        <w:rPr>
          <w:sz w:val="24"/>
          <w:szCs w:val="24"/>
        </w:rPr>
        <w:t>M</w:t>
      </w:r>
      <w:r w:rsidR="2FCAFAA7" w:rsidRPr="00B41DE0">
        <w:rPr>
          <w:sz w:val="24"/>
          <w:szCs w:val="24"/>
        </w:rPr>
        <w:t xml:space="preserve">aterial </w:t>
      </w:r>
      <w:r w:rsidR="00BF79EE">
        <w:rPr>
          <w:sz w:val="24"/>
          <w:szCs w:val="24"/>
        </w:rPr>
        <w:t>M</w:t>
      </w:r>
      <w:r w:rsidRPr="00B41DE0">
        <w:rPr>
          <w:sz w:val="24"/>
          <w:szCs w:val="24"/>
        </w:rPr>
        <w:t xml:space="preserve">odification of an existing Related Party Transaction shall also require approval of </w:t>
      </w:r>
      <w:r w:rsidR="00E67F27" w:rsidRPr="00B41DE0">
        <w:rPr>
          <w:sz w:val="24"/>
          <w:szCs w:val="24"/>
        </w:rPr>
        <w:t xml:space="preserve">the </w:t>
      </w:r>
      <w:r w:rsidRPr="00B41DE0">
        <w:rPr>
          <w:sz w:val="24"/>
          <w:szCs w:val="24"/>
        </w:rPr>
        <w:t xml:space="preserve">Audit Committee. However, the approval of Audit Committee would not be required for transaction(s), other than the transaction(s) referred in Section 188 of the </w:t>
      </w:r>
      <w:r w:rsidR="00BF79EE">
        <w:rPr>
          <w:sz w:val="24"/>
          <w:szCs w:val="24"/>
        </w:rPr>
        <w:t xml:space="preserve">Companies </w:t>
      </w:r>
      <w:r w:rsidRPr="00B41DE0">
        <w:rPr>
          <w:sz w:val="24"/>
          <w:szCs w:val="24"/>
        </w:rPr>
        <w:t xml:space="preserve">Act, between the Company and its wholly owned subsidiaries whose accounts are consolidated with the Company and placed before the shareholders of the Company at the general meeting for approval. </w:t>
      </w:r>
    </w:p>
    <w:p w14:paraId="248D6066" w14:textId="6188E2F3" w:rsidR="4353CA7A" w:rsidRPr="00B41DE0" w:rsidRDefault="4353CA7A" w:rsidP="00B67A0B">
      <w:pPr>
        <w:pStyle w:val="Decimaloutlinedc3"/>
        <w:rPr>
          <w:sz w:val="24"/>
          <w:szCs w:val="24"/>
        </w:rPr>
      </w:pPr>
      <w:r w:rsidRPr="00B41DE0">
        <w:rPr>
          <w:sz w:val="24"/>
          <w:szCs w:val="24"/>
        </w:rPr>
        <w:t xml:space="preserve">A related party transaction to which the subsidiary of </w:t>
      </w:r>
      <w:r w:rsidR="00BF79EE">
        <w:rPr>
          <w:sz w:val="24"/>
          <w:szCs w:val="24"/>
        </w:rPr>
        <w:t>the Company</w:t>
      </w:r>
      <w:r w:rsidRPr="00B41DE0">
        <w:rPr>
          <w:sz w:val="24"/>
          <w:szCs w:val="24"/>
        </w:rPr>
        <w:t xml:space="preserve"> is a party but the </w:t>
      </w:r>
      <w:r w:rsidR="00BF79EE">
        <w:rPr>
          <w:sz w:val="24"/>
          <w:szCs w:val="24"/>
        </w:rPr>
        <w:t>Company</w:t>
      </w:r>
      <w:r w:rsidRPr="00B41DE0">
        <w:rPr>
          <w:sz w:val="24"/>
          <w:szCs w:val="24"/>
        </w:rPr>
        <w:t xml:space="preserve"> is not a party, shall require prior approval of the </w:t>
      </w:r>
      <w:r w:rsidR="00BF79EE">
        <w:rPr>
          <w:sz w:val="24"/>
          <w:szCs w:val="24"/>
        </w:rPr>
        <w:t>A</w:t>
      </w:r>
      <w:r w:rsidRPr="00B41DE0">
        <w:rPr>
          <w:sz w:val="24"/>
          <w:szCs w:val="24"/>
        </w:rPr>
        <w:t xml:space="preserve">udit </w:t>
      </w:r>
      <w:r w:rsidR="00BF79EE">
        <w:rPr>
          <w:sz w:val="24"/>
          <w:szCs w:val="24"/>
        </w:rPr>
        <w:t>C</w:t>
      </w:r>
      <w:r w:rsidRPr="00B41DE0">
        <w:rPr>
          <w:sz w:val="24"/>
          <w:szCs w:val="24"/>
        </w:rPr>
        <w:t xml:space="preserve">ommittee if the value of such transaction whether entered into individually or taken together with previous transactions during a financial year, exceeds </w:t>
      </w:r>
      <w:r w:rsidR="00BF79EE">
        <w:rPr>
          <w:sz w:val="24"/>
          <w:szCs w:val="24"/>
        </w:rPr>
        <w:t>10 (</w:t>
      </w:r>
      <w:r w:rsidRPr="00B41DE0">
        <w:rPr>
          <w:sz w:val="24"/>
          <w:szCs w:val="24"/>
        </w:rPr>
        <w:t>ten</w:t>
      </w:r>
      <w:r w:rsidR="00BF79EE">
        <w:rPr>
          <w:sz w:val="24"/>
          <w:szCs w:val="24"/>
        </w:rPr>
        <w:t>)</w:t>
      </w:r>
      <w:r w:rsidRPr="00B41DE0">
        <w:rPr>
          <w:sz w:val="24"/>
          <w:szCs w:val="24"/>
        </w:rPr>
        <w:t xml:space="preserve"> per cent of the annual standalone turnover, as per the last audited financial statements of the subsidiary</w:t>
      </w:r>
      <w:r w:rsidR="00C9050A" w:rsidRPr="00B41DE0">
        <w:rPr>
          <w:sz w:val="24"/>
          <w:szCs w:val="24"/>
        </w:rPr>
        <w:t>.</w:t>
      </w:r>
    </w:p>
    <w:p w14:paraId="5894B10E" w14:textId="10EB84C0" w:rsidR="00DC3B02" w:rsidRPr="00B41DE0" w:rsidRDefault="00DC3B02" w:rsidP="00B67A0B">
      <w:pPr>
        <w:pStyle w:val="Decimaloutlinedc3"/>
        <w:rPr>
          <w:sz w:val="24"/>
          <w:szCs w:val="24"/>
        </w:rPr>
      </w:pPr>
      <w:r w:rsidRPr="00B41DE0">
        <w:rPr>
          <w:sz w:val="24"/>
          <w:szCs w:val="24"/>
        </w:rPr>
        <w:t xml:space="preserve">The Audit Committee may grant omnibus approval to one or more proposed Related Party Transactions. </w:t>
      </w:r>
    </w:p>
    <w:p w14:paraId="5B5952F5" w14:textId="4F8F5F6A" w:rsidR="00DC3B02" w:rsidRPr="00B41DE0" w:rsidRDefault="00DC3B02" w:rsidP="00B67A0B">
      <w:pPr>
        <w:spacing w:after="200"/>
        <w:ind w:left="1254" w:firstLine="447"/>
        <w:jc w:val="both"/>
        <w:textAlignment w:val="baseline"/>
        <w:rPr>
          <w:rFonts w:eastAsia="Arial"/>
          <w:sz w:val="24"/>
          <w:szCs w:val="24"/>
        </w:rPr>
      </w:pPr>
      <w:r w:rsidRPr="00B41DE0">
        <w:rPr>
          <w:rFonts w:eastAsia="Arial"/>
          <w:sz w:val="24"/>
          <w:szCs w:val="24"/>
        </w:rPr>
        <w:t xml:space="preserve">Such omnibus approval shall be subject to the following </w:t>
      </w:r>
      <w:r w:rsidR="00E67F27" w:rsidRPr="00B41DE0">
        <w:rPr>
          <w:rFonts w:eastAsia="Arial"/>
          <w:sz w:val="24"/>
          <w:szCs w:val="24"/>
        </w:rPr>
        <w:t xml:space="preserve">conditions: </w:t>
      </w:r>
    </w:p>
    <w:p w14:paraId="0CD06363" w14:textId="7008220A" w:rsidR="00DC3B02" w:rsidRPr="00B41DE0" w:rsidRDefault="00DC3B02" w:rsidP="00B67A0B">
      <w:pPr>
        <w:pStyle w:val="Decimaloutlinedc5"/>
        <w:rPr>
          <w:sz w:val="24"/>
          <w:szCs w:val="24"/>
        </w:rPr>
      </w:pPr>
      <w:r w:rsidRPr="00B41DE0">
        <w:rPr>
          <w:sz w:val="24"/>
          <w:szCs w:val="24"/>
        </w:rPr>
        <w:t xml:space="preserve">The proposed Related Party Transaction(s) is/are repetitive in nature and the Audit Committee shall satisfy itself about the need for such omnibus approval and that such approval is in the interest of the Company; </w:t>
      </w:r>
    </w:p>
    <w:p w14:paraId="31819366" w14:textId="09143CFE" w:rsidR="00DC3B02" w:rsidRPr="00B41DE0" w:rsidRDefault="00DC3B02" w:rsidP="00B67A0B">
      <w:pPr>
        <w:pStyle w:val="Decimaloutlinedc5"/>
        <w:rPr>
          <w:sz w:val="24"/>
          <w:szCs w:val="24"/>
        </w:rPr>
      </w:pPr>
      <w:r w:rsidRPr="00B41DE0">
        <w:rPr>
          <w:sz w:val="24"/>
          <w:szCs w:val="24"/>
        </w:rPr>
        <w:t xml:space="preserve">The maximum value of the Related Party Transactions, in aggregate, which can be allowed under the omnibus route in a </w:t>
      </w:r>
      <w:r w:rsidR="5BF0006C" w:rsidRPr="00B41DE0">
        <w:rPr>
          <w:sz w:val="24"/>
          <w:szCs w:val="24"/>
        </w:rPr>
        <w:t xml:space="preserve">financial </w:t>
      </w:r>
      <w:r w:rsidRPr="00B41DE0">
        <w:rPr>
          <w:sz w:val="24"/>
          <w:szCs w:val="24"/>
        </w:rPr>
        <w:t xml:space="preserve">year shall not exceed </w:t>
      </w:r>
      <w:r w:rsidR="00331C89">
        <w:rPr>
          <w:sz w:val="24"/>
          <w:szCs w:val="24"/>
        </w:rPr>
        <w:t>10 (</w:t>
      </w:r>
      <w:r w:rsidR="607CA04C" w:rsidRPr="00B41DE0">
        <w:rPr>
          <w:sz w:val="24"/>
          <w:szCs w:val="24"/>
        </w:rPr>
        <w:t>ten</w:t>
      </w:r>
      <w:r w:rsidR="00331C89">
        <w:rPr>
          <w:sz w:val="24"/>
          <w:szCs w:val="24"/>
        </w:rPr>
        <w:t>)</w:t>
      </w:r>
      <w:r w:rsidR="607CA04C" w:rsidRPr="00B41DE0">
        <w:rPr>
          <w:sz w:val="24"/>
          <w:szCs w:val="24"/>
        </w:rPr>
        <w:t xml:space="preserve"> percent </w:t>
      </w:r>
      <w:r w:rsidRPr="00B41DE0">
        <w:rPr>
          <w:sz w:val="24"/>
          <w:szCs w:val="24"/>
        </w:rPr>
        <w:t>of annual consolidated turnover of the Company as per the last audited financial statements</w:t>
      </w:r>
      <w:r w:rsidR="131A7972" w:rsidRPr="00B41DE0">
        <w:rPr>
          <w:sz w:val="24"/>
          <w:szCs w:val="24"/>
        </w:rPr>
        <w:t xml:space="preserve"> </w:t>
      </w:r>
      <w:r w:rsidRPr="00B41DE0">
        <w:rPr>
          <w:sz w:val="24"/>
          <w:szCs w:val="24"/>
        </w:rPr>
        <w:t>of the Company. Further,</w:t>
      </w:r>
      <w:r w:rsidR="0064269B" w:rsidRPr="00B41DE0">
        <w:rPr>
          <w:sz w:val="24"/>
          <w:szCs w:val="24"/>
        </w:rPr>
        <w:t xml:space="preserve"> </w:t>
      </w:r>
      <w:r w:rsidRPr="00B41DE0">
        <w:rPr>
          <w:sz w:val="24"/>
          <w:szCs w:val="24"/>
        </w:rPr>
        <w:t>the maximum value per Related Party Transaction which</w:t>
      </w:r>
      <w:r w:rsidR="6D28E0D4" w:rsidRPr="00B41DE0">
        <w:rPr>
          <w:sz w:val="24"/>
          <w:szCs w:val="24"/>
        </w:rPr>
        <w:t xml:space="preserve"> </w:t>
      </w:r>
      <w:r w:rsidRPr="00B41DE0">
        <w:rPr>
          <w:sz w:val="24"/>
          <w:szCs w:val="24"/>
        </w:rPr>
        <w:t>can be allowed under the omnibus route shall not exceed</w:t>
      </w:r>
      <w:r w:rsidR="00331C89">
        <w:rPr>
          <w:sz w:val="24"/>
          <w:szCs w:val="24"/>
        </w:rPr>
        <w:t xml:space="preserve"> 5</w:t>
      </w:r>
      <w:r w:rsidRPr="00B41DE0">
        <w:rPr>
          <w:sz w:val="24"/>
          <w:szCs w:val="24"/>
        </w:rPr>
        <w:t xml:space="preserve"> </w:t>
      </w:r>
      <w:r w:rsidR="00331C89">
        <w:rPr>
          <w:sz w:val="24"/>
          <w:szCs w:val="24"/>
        </w:rPr>
        <w:t>(</w:t>
      </w:r>
      <w:r w:rsidR="25732F86" w:rsidRPr="00B41DE0">
        <w:rPr>
          <w:sz w:val="24"/>
          <w:szCs w:val="24"/>
        </w:rPr>
        <w:t>five</w:t>
      </w:r>
      <w:r w:rsidR="00331C89">
        <w:rPr>
          <w:sz w:val="24"/>
          <w:szCs w:val="24"/>
        </w:rPr>
        <w:t>)</w:t>
      </w:r>
      <w:r w:rsidR="25732F86" w:rsidRPr="00B41DE0">
        <w:rPr>
          <w:sz w:val="24"/>
          <w:szCs w:val="24"/>
        </w:rPr>
        <w:t xml:space="preserve"> per</w:t>
      </w:r>
      <w:r w:rsidR="00331C89">
        <w:rPr>
          <w:sz w:val="24"/>
          <w:szCs w:val="24"/>
        </w:rPr>
        <w:t xml:space="preserve"> </w:t>
      </w:r>
      <w:r w:rsidR="25732F86" w:rsidRPr="00B41DE0">
        <w:rPr>
          <w:sz w:val="24"/>
          <w:szCs w:val="24"/>
        </w:rPr>
        <w:t>cent</w:t>
      </w:r>
      <w:r w:rsidRPr="00B41DE0">
        <w:rPr>
          <w:sz w:val="24"/>
          <w:szCs w:val="24"/>
        </w:rPr>
        <w:t xml:space="preserve"> of annual consolidated turnover of the Company as per the last audited financial statements of the Company. </w:t>
      </w:r>
    </w:p>
    <w:p w14:paraId="5383CBA4" w14:textId="77777777" w:rsidR="00D92266" w:rsidRDefault="00DC3B02" w:rsidP="00B67A0B">
      <w:pPr>
        <w:pStyle w:val="Decimaloutlinedc5"/>
        <w:rPr>
          <w:sz w:val="24"/>
          <w:szCs w:val="24"/>
        </w:rPr>
      </w:pPr>
      <w:r w:rsidRPr="00B41DE0">
        <w:rPr>
          <w:sz w:val="24"/>
          <w:szCs w:val="24"/>
        </w:rPr>
        <w:t xml:space="preserve">Such omnibus approval shall specify (i) the name(s) of the Related Party, nature of transaction, period of transaction, maximum amount of transactions that shall be entered into, (ii) the indicative base price/current contracted price and the formula for variation in the price, if any; and (iii) such other conditions as the Audit Committee may deem fit; </w:t>
      </w:r>
    </w:p>
    <w:p w14:paraId="53008001" w14:textId="63578161" w:rsidR="00DC3B02" w:rsidRPr="00B41DE0" w:rsidRDefault="00DC3B02" w:rsidP="00D92266">
      <w:pPr>
        <w:pStyle w:val="Decimaloutlinedc5"/>
        <w:numPr>
          <w:ilvl w:val="0"/>
          <w:numId w:val="0"/>
        </w:numPr>
        <w:ind w:left="2131"/>
        <w:rPr>
          <w:sz w:val="24"/>
          <w:szCs w:val="24"/>
        </w:rPr>
      </w:pPr>
      <w:r w:rsidRPr="00B41DE0">
        <w:rPr>
          <w:sz w:val="24"/>
          <w:szCs w:val="24"/>
        </w:rPr>
        <w:t xml:space="preserve">Provided that where the need for Related Party Transaction cannot be foreseen and aforesaid details are not available, Audit Committee may grant omnibus approval for such transactions subject to the transaction value not exceeding </w:t>
      </w:r>
      <w:r w:rsidR="00D92266">
        <w:rPr>
          <w:sz w:val="24"/>
          <w:szCs w:val="24"/>
        </w:rPr>
        <w:t>rupees one</w:t>
      </w:r>
      <w:r w:rsidRPr="00B41DE0">
        <w:rPr>
          <w:sz w:val="24"/>
          <w:szCs w:val="24"/>
        </w:rPr>
        <w:t xml:space="preserve"> crore per transaction. </w:t>
      </w:r>
    </w:p>
    <w:p w14:paraId="553B78EF" w14:textId="2B329E44" w:rsidR="00DC3B02" w:rsidRPr="00B41DE0" w:rsidRDefault="00DC3B02" w:rsidP="00B67A0B">
      <w:pPr>
        <w:pStyle w:val="Decimaloutlinedc5"/>
        <w:rPr>
          <w:sz w:val="24"/>
          <w:szCs w:val="24"/>
        </w:rPr>
      </w:pPr>
      <w:r w:rsidRPr="00B41DE0">
        <w:rPr>
          <w:sz w:val="24"/>
          <w:szCs w:val="24"/>
        </w:rPr>
        <w:t xml:space="preserve">Audit Committee shall review, on a quarterly basis, the details of Related Party Transactions entered into by the Company </w:t>
      </w:r>
      <w:r w:rsidR="00D92266">
        <w:rPr>
          <w:sz w:val="24"/>
          <w:szCs w:val="24"/>
        </w:rPr>
        <w:t xml:space="preserve">or its subsidiary, </w:t>
      </w:r>
      <w:r w:rsidRPr="00B41DE0">
        <w:rPr>
          <w:sz w:val="24"/>
          <w:szCs w:val="24"/>
        </w:rPr>
        <w:t>pursuant to each omnibus approval</w:t>
      </w:r>
      <w:r w:rsidR="00D92266">
        <w:rPr>
          <w:sz w:val="24"/>
          <w:szCs w:val="24"/>
        </w:rPr>
        <w:t xml:space="preserve">; </w:t>
      </w:r>
    </w:p>
    <w:p w14:paraId="659B491B" w14:textId="123745F8" w:rsidR="00DC3B02" w:rsidRPr="00B41DE0" w:rsidRDefault="00DC3B02" w:rsidP="00B67A0B">
      <w:pPr>
        <w:pStyle w:val="Decimaloutlinedc5"/>
        <w:rPr>
          <w:sz w:val="24"/>
          <w:szCs w:val="24"/>
        </w:rPr>
      </w:pPr>
      <w:r w:rsidRPr="00B41DE0">
        <w:rPr>
          <w:sz w:val="24"/>
          <w:szCs w:val="24"/>
        </w:rPr>
        <w:t xml:space="preserve">Such omnibus approvals shall be valid for a period not exceeding </w:t>
      </w:r>
      <w:r w:rsidR="00D92266">
        <w:rPr>
          <w:sz w:val="24"/>
          <w:szCs w:val="24"/>
        </w:rPr>
        <w:t>1 (</w:t>
      </w:r>
      <w:r w:rsidRPr="00B41DE0">
        <w:rPr>
          <w:sz w:val="24"/>
          <w:szCs w:val="24"/>
        </w:rPr>
        <w:t>one</w:t>
      </w:r>
      <w:r w:rsidR="00D92266">
        <w:rPr>
          <w:sz w:val="24"/>
          <w:szCs w:val="24"/>
        </w:rPr>
        <w:t>)</w:t>
      </w:r>
      <w:r w:rsidRPr="00B41DE0">
        <w:rPr>
          <w:sz w:val="24"/>
          <w:szCs w:val="24"/>
        </w:rPr>
        <w:t xml:space="preserve"> year and shall require fresh approvals after the expiry of one year. </w:t>
      </w:r>
    </w:p>
    <w:p w14:paraId="11507A50" w14:textId="0EC2D513" w:rsidR="00DC3B02" w:rsidRPr="00B41DE0" w:rsidRDefault="00DC3B02" w:rsidP="00B67A0B">
      <w:pPr>
        <w:pStyle w:val="Decimaloutlinedc5"/>
        <w:rPr>
          <w:sz w:val="24"/>
          <w:szCs w:val="24"/>
        </w:rPr>
      </w:pPr>
      <w:r w:rsidRPr="00B41DE0">
        <w:rPr>
          <w:sz w:val="24"/>
          <w:szCs w:val="24"/>
        </w:rPr>
        <w:t xml:space="preserve">Omnibus approval shall not be granted by the Audit Committee for the following: </w:t>
      </w:r>
    </w:p>
    <w:p w14:paraId="5770F8F2" w14:textId="0EB446DA" w:rsidR="00DC3B02" w:rsidRPr="00B41DE0" w:rsidRDefault="00DC3B02" w:rsidP="00DF3C44">
      <w:pPr>
        <w:pStyle w:val="Decimaloutlinedc4"/>
        <w:numPr>
          <w:ilvl w:val="3"/>
          <w:numId w:val="63"/>
        </w:numPr>
        <w:ind w:left="2552" w:hanging="425"/>
        <w:rPr>
          <w:sz w:val="24"/>
          <w:szCs w:val="24"/>
        </w:rPr>
      </w:pPr>
      <w:r w:rsidRPr="00B41DE0">
        <w:rPr>
          <w:sz w:val="24"/>
          <w:szCs w:val="24"/>
        </w:rPr>
        <w:lastRenderedPageBreak/>
        <w:t xml:space="preserve">Related Party Transaction(s) in respect of selling or disposing off the undertaking of the Company; and </w:t>
      </w:r>
    </w:p>
    <w:p w14:paraId="240B4A5C" w14:textId="350ED1C4" w:rsidR="00DC3B02" w:rsidRPr="00B41DE0" w:rsidRDefault="00DC3B02" w:rsidP="00DF3C44">
      <w:pPr>
        <w:pStyle w:val="Decimaloutlinedc4"/>
        <w:ind w:left="2552" w:hanging="425"/>
        <w:rPr>
          <w:sz w:val="24"/>
          <w:szCs w:val="24"/>
        </w:rPr>
      </w:pPr>
      <w:r w:rsidRPr="00B41DE0">
        <w:rPr>
          <w:sz w:val="24"/>
          <w:szCs w:val="24"/>
        </w:rPr>
        <w:t xml:space="preserve">Related Party Transaction(s) with respect to brand usage or royalty payments. </w:t>
      </w:r>
    </w:p>
    <w:p w14:paraId="4034E70E" w14:textId="64BACE8F" w:rsidR="00DC3B02" w:rsidRPr="00B41DE0" w:rsidRDefault="00DC3B02" w:rsidP="00B67A0B">
      <w:pPr>
        <w:pStyle w:val="Decimaloutlinedc3"/>
        <w:rPr>
          <w:sz w:val="24"/>
          <w:szCs w:val="24"/>
        </w:rPr>
      </w:pPr>
      <w:r w:rsidRPr="00B41DE0">
        <w:rPr>
          <w:sz w:val="24"/>
          <w:szCs w:val="24"/>
        </w:rPr>
        <w:t>Each related party transaction</w:t>
      </w:r>
      <w:r w:rsidR="2D56FFCC" w:rsidRPr="00B41DE0">
        <w:rPr>
          <w:sz w:val="24"/>
          <w:szCs w:val="24"/>
        </w:rPr>
        <w:t xml:space="preserve"> and subsequent </w:t>
      </w:r>
      <w:r w:rsidR="000939A6">
        <w:rPr>
          <w:sz w:val="24"/>
          <w:szCs w:val="24"/>
        </w:rPr>
        <w:t>M</w:t>
      </w:r>
      <w:r w:rsidR="2D56FFCC" w:rsidRPr="00B41DE0">
        <w:rPr>
          <w:sz w:val="24"/>
          <w:szCs w:val="24"/>
        </w:rPr>
        <w:t xml:space="preserve">aterial </w:t>
      </w:r>
      <w:r w:rsidR="000939A6">
        <w:rPr>
          <w:sz w:val="24"/>
          <w:szCs w:val="24"/>
        </w:rPr>
        <w:t>M</w:t>
      </w:r>
      <w:r w:rsidR="2D56FFCC" w:rsidRPr="00B41DE0">
        <w:rPr>
          <w:sz w:val="24"/>
          <w:szCs w:val="24"/>
        </w:rPr>
        <w:t>odifications</w:t>
      </w:r>
      <w:r w:rsidRPr="00B41DE0">
        <w:rPr>
          <w:sz w:val="24"/>
          <w:szCs w:val="24"/>
        </w:rPr>
        <w:t xml:space="preserve"> shall require prior approval of the</w:t>
      </w:r>
      <w:r w:rsidR="2DCCEB8E" w:rsidRPr="00B41DE0">
        <w:rPr>
          <w:sz w:val="24"/>
          <w:szCs w:val="24"/>
        </w:rPr>
        <w:t xml:space="preserve"> Audit Committee or</w:t>
      </w:r>
      <w:r w:rsidRPr="00B41DE0">
        <w:rPr>
          <w:sz w:val="24"/>
          <w:szCs w:val="24"/>
        </w:rPr>
        <w:t xml:space="preserve"> Board</w:t>
      </w:r>
      <w:r w:rsidR="6009834E" w:rsidRPr="00B41DE0">
        <w:rPr>
          <w:sz w:val="24"/>
          <w:szCs w:val="24"/>
        </w:rPr>
        <w:t xml:space="preserve"> of Directors</w:t>
      </w:r>
      <w:r w:rsidRPr="00B41DE0">
        <w:rPr>
          <w:sz w:val="24"/>
          <w:szCs w:val="24"/>
        </w:rPr>
        <w:t xml:space="preserve"> </w:t>
      </w:r>
      <w:r w:rsidR="6DC5B9F1" w:rsidRPr="00B41DE0">
        <w:rPr>
          <w:sz w:val="24"/>
          <w:szCs w:val="24"/>
        </w:rPr>
        <w:t>or</w:t>
      </w:r>
      <w:r w:rsidRPr="00B41DE0">
        <w:rPr>
          <w:sz w:val="24"/>
          <w:szCs w:val="24"/>
        </w:rPr>
        <w:t xml:space="preserve"> shareholders of the Company,</w:t>
      </w:r>
      <w:r w:rsidR="3E7819DA" w:rsidRPr="00B41DE0">
        <w:rPr>
          <w:sz w:val="24"/>
          <w:szCs w:val="24"/>
        </w:rPr>
        <w:t xml:space="preserve"> as the case may be</w:t>
      </w:r>
      <w:r w:rsidRPr="00B41DE0">
        <w:rPr>
          <w:sz w:val="24"/>
          <w:szCs w:val="24"/>
        </w:rPr>
        <w:t xml:space="preserve"> </w:t>
      </w:r>
      <w:r w:rsidR="5C36DB81" w:rsidRPr="00B41DE0">
        <w:rPr>
          <w:sz w:val="24"/>
          <w:szCs w:val="24"/>
        </w:rPr>
        <w:t>as required under and subject to the</w:t>
      </w:r>
      <w:r w:rsidR="00D92266">
        <w:rPr>
          <w:sz w:val="24"/>
          <w:szCs w:val="24"/>
        </w:rPr>
        <w:t xml:space="preserve"> Companies</w:t>
      </w:r>
      <w:r w:rsidR="5C36DB81" w:rsidRPr="00B41DE0">
        <w:rPr>
          <w:sz w:val="24"/>
          <w:szCs w:val="24"/>
        </w:rPr>
        <w:t xml:space="preserve"> Act and the</w:t>
      </w:r>
      <w:r w:rsidR="00D92266">
        <w:rPr>
          <w:sz w:val="24"/>
          <w:szCs w:val="24"/>
        </w:rPr>
        <w:t xml:space="preserve"> SEBI</w:t>
      </w:r>
      <w:r w:rsidR="5C36DB81" w:rsidRPr="00B41DE0">
        <w:rPr>
          <w:sz w:val="24"/>
          <w:szCs w:val="24"/>
        </w:rPr>
        <w:t xml:space="preserve"> Listing Regulations</w:t>
      </w:r>
      <w:r w:rsidRPr="00B41DE0">
        <w:rPr>
          <w:sz w:val="24"/>
          <w:szCs w:val="24"/>
        </w:rPr>
        <w:t xml:space="preserve">. </w:t>
      </w:r>
      <w:r w:rsidR="7A87678B" w:rsidRPr="00B41DE0">
        <w:rPr>
          <w:sz w:val="24"/>
          <w:szCs w:val="24"/>
        </w:rPr>
        <w:t>The information in respect of proposed Related Party Transaction(s) along with complete details including nature and amount of transaction, period of contract, justification for entering transaction with such party shall be placed before the Audit Committee.</w:t>
      </w:r>
    </w:p>
    <w:p w14:paraId="5F8332BD" w14:textId="6D932461" w:rsidR="00DC3B02" w:rsidRPr="00B41DE0" w:rsidRDefault="0DEA20EF" w:rsidP="00B67A0B">
      <w:pPr>
        <w:pStyle w:val="Decimaloutlinedc3"/>
        <w:rPr>
          <w:sz w:val="24"/>
          <w:szCs w:val="24"/>
        </w:rPr>
      </w:pPr>
      <w:r w:rsidRPr="00B41DE0">
        <w:rPr>
          <w:sz w:val="24"/>
          <w:szCs w:val="24"/>
        </w:rPr>
        <w:t>While assessing the proposal, the Audit Committee may seek such information/ supporting documents or get clarifications, as it may consider necessary.</w:t>
      </w:r>
    </w:p>
    <w:p w14:paraId="473E53F4" w14:textId="24C1505F" w:rsidR="00DC3B02" w:rsidRPr="00B41DE0" w:rsidRDefault="00DC3B02" w:rsidP="00B67A0B">
      <w:pPr>
        <w:pStyle w:val="Decimaloutlinedc3"/>
        <w:rPr>
          <w:sz w:val="24"/>
          <w:szCs w:val="24"/>
        </w:rPr>
      </w:pPr>
      <w:r w:rsidRPr="00B41DE0">
        <w:rPr>
          <w:sz w:val="24"/>
          <w:szCs w:val="24"/>
        </w:rPr>
        <w:t xml:space="preserve">A contract, arrangement or transaction, between a related party (as defined under the </w:t>
      </w:r>
      <w:r w:rsidR="00D92266">
        <w:rPr>
          <w:sz w:val="24"/>
          <w:szCs w:val="24"/>
        </w:rPr>
        <w:t xml:space="preserve">Companies </w:t>
      </w:r>
      <w:r w:rsidRPr="00B41DE0">
        <w:rPr>
          <w:sz w:val="24"/>
          <w:szCs w:val="24"/>
        </w:rPr>
        <w:t xml:space="preserve">Act) and the Company, as specified under Section 188(1) of the </w:t>
      </w:r>
      <w:r w:rsidR="00D92266">
        <w:rPr>
          <w:sz w:val="24"/>
          <w:szCs w:val="24"/>
        </w:rPr>
        <w:t xml:space="preserve">Companies </w:t>
      </w:r>
      <w:r w:rsidRPr="00B41DE0">
        <w:rPr>
          <w:sz w:val="24"/>
          <w:szCs w:val="24"/>
        </w:rPr>
        <w:t>Act, which is either ‘not on an arm’s length basis’ or ‘not in the ordinary course of business’ (“</w:t>
      </w:r>
      <w:r w:rsidRPr="00B41DE0">
        <w:rPr>
          <w:b/>
          <w:bCs/>
          <w:sz w:val="24"/>
          <w:szCs w:val="24"/>
        </w:rPr>
        <w:t>Specified RPT</w:t>
      </w:r>
      <w:r w:rsidRPr="00B41DE0">
        <w:rPr>
          <w:sz w:val="24"/>
          <w:szCs w:val="24"/>
        </w:rPr>
        <w:t>”),</w:t>
      </w:r>
      <w:r w:rsidR="00B67A0B" w:rsidRPr="00B41DE0">
        <w:rPr>
          <w:sz w:val="24"/>
          <w:szCs w:val="24"/>
        </w:rPr>
        <w:t xml:space="preserve"> </w:t>
      </w:r>
      <w:r w:rsidRPr="00B41DE0">
        <w:rPr>
          <w:sz w:val="24"/>
          <w:szCs w:val="24"/>
        </w:rPr>
        <w:t>shall also require approval of</w:t>
      </w:r>
      <w:r w:rsidR="00B67A0B" w:rsidRPr="00B41DE0">
        <w:rPr>
          <w:sz w:val="24"/>
          <w:szCs w:val="24"/>
        </w:rPr>
        <w:t xml:space="preserve"> the</w:t>
      </w:r>
      <w:r w:rsidRPr="00B41DE0">
        <w:rPr>
          <w:sz w:val="24"/>
          <w:szCs w:val="24"/>
        </w:rPr>
        <w:t xml:space="preserve"> Board as per the provisions of Section 188(1) of the </w:t>
      </w:r>
      <w:r w:rsidR="00D92266">
        <w:rPr>
          <w:sz w:val="24"/>
          <w:szCs w:val="24"/>
        </w:rPr>
        <w:t xml:space="preserve">Companies </w:t>
      </w:r>
      <w:r w:rsidRPr="00B41DE0">
        <w:rPr>
          <w:sz w:val="24"/>
          <w:szCs w:val="24"/>
        </w:rPr>
        <w:t xml:space="preserve">Act and the applicable provisions of the Rules. Further, subject to the provisions of the </w:t>
      </w:r>
      <w:r w:rsidR="00D92266">
        <w:rPr>
          <w:sz w:val="24"/>
          <w:szCs w:val="24"/>
        </w:rPr>
        <w:t xml:space="preserve">Companies </w:t>
      </w:r>
      <w:r w:rsidRPr="00B41DE0">
        <w:rPr>
          <w:sz w:val="24"/>
          <w:szCs w:val="24"/>
        </w:rPr>
        <w:t xml:space="preserve">Act and Rules, the following Specified RPTs shall require approval of the shareholders of the Company by a resolution: </w:t>
      </w:r>
    </w:p>
    <w:p w14:paraId="3D278292" w14:textId="50F27E57" w:rsidR="00DC3B02" w:rsidRPr="00B41DE0" w:rsidRDefault="00DC3B02" w:rsidP="00B67A0B">
      <w:pPr>
        <w:pStyle w:val="Decimaloutlinedc5"/>
        <w:rPr>
          <w:sz w:val="24"/>
          <w:szCs w:val="24"/>
        </w:rPr>
      </w:pPr>
      <w:r w:rsidRPr="00B41DE0">
        <w:rPr>
          <w:sz w:val="24"/>
          <w:szCs w:val="24"/>
        </w:rPr>
        <w:t>Sale, purchase or supply of any goods or materials, directly or through appointment of agent, amounting to ten per cent or more of the turnover of the Company, as mentioned in clause(a) and clause (e) respectively of sub-section (1) of Section 188 of the</w:t>
      </w:r>
      <w:r w:rsidR="00D92266">
        <w:rPr>
          <w:sz w:val="24"/>
          <w:szCs w:val="24"/>
        </w:rPr>
        <w:t xml:space="preserve"> Companies</w:t>
      </w:r>
      <w:r w:rsidRPr="00B41DE0">
        <w:rPr>
          <w:sz w:val="24"/>
          <w:szCs w:val="24"/>
        </w:rPr>
        <w:t xml:space="preserve"> Act; </w:t>
      </w:r>
    </w:p>
    <w:p w14:paraId="2FC8E718" w14:textId="6CE30B6E" w:rsidR="00DC3B02" w:rsidRPr="00B41DE0" w:rsidRDefault="00DC3B02" w:rsidP="00B67A0B">
      <w:pPr>
        <w:pStyle w:val="Decimaloutlinedc5"/>
        <w:rPr>
          <w:sz w:val="24"/>
          <w:szCs w:val="24"/>
        </w:rPr>
      </w:pPr>
      <w:r w:rsidRPr="00B41DE0">
        <w:rPr>
          <w:sz w:val="24"/>
          <w:szCs w:val="24"/>
        </w:rPr>
        <w:t>Selling or otherwise disposing of or buying property of any kind, directly or through appointment of agent, amounting to ten per cent or more of net worth of the Company, as mentioned in clause (b) and clause (e) respectively of sub-section (1)</w:t>
      </w:r>
      <w:r w:rsidR="0064269B" w:rsidRPr="00B41DE0">
        <w:rPr>
          <w:sz w:val="24"/>
          <w:szCs w:val="24"/>
        </w:rPr>
        <w:t xml:space="preserve"> </w:t>
      </w:r>
      <w:r w:rsidRPr="00B41DE0">
        <w:rPr>
          <w:sz w:val="24"/>
          <w:szCs w:val="24"/>
        </w:rPr>
        <w:t xml:space="preserve">of Section 188 of the </w:t>
      </w:r>
      <w:r w:rsidR="00D92266">
        <w:rPr>
          <w:sz w:val="24"/>
          <w:szCs w:val="24"/>
        </w:rPr>
        <w:t xml:space="preserve">Companies </w:t>
      </w:r>
      <w:r w:rsidRPr="00B41DE0">
        <w:rPr>
          <w:sz w:val="24"/>
          <w:szCs w:val="24"/>
        </w:rPr>
        <w:t xml:space="preserve">Act; </w:t>
      </w:r>
    </w:p>
    <w:p w14:paraId="49564535" w14:textId="7F5B402E" w:rsidR="00DC3B02" w:rsidRPr="00B41DE0" w:rsidRDefault="00DC3B02" w:rsidP="00B67A0B">
      <w:pPr>
        <w:pStyle w:val="Decimaloutlinedc5"/>
        <w:rPr>
          <w:sz w:val="24"/>
          <w:szCs w:val="24"/>
        </w:rPr>
      </w:pPr>
      <w:r w:rsidRPr="00B41DE0">
        <w:rPr>
          <w:sz w:val="24"/>
          <w:szCs w:val="24"/>
        </w:rPr>
        <w:t>Leasing of property of any kind amounting to ten per cent or more of the turnover of</w:t>
      </w:r>
      <w:r w:rsidR="0064269B" w:rsidRPr="00B41DE0">
        <w:rPr>
          <w:sz w:val="24"/>
          <w:szCs w:val="24"/>
        </w:rPr>
        <w:t xml:space="preserve"> </w:t>
      </w:r>
      <w:r w:rsidRPr="00B41DE0">
        <w:rPr>
          <w:sz w:val="24"/>
          <w:szCs w:val="24"/>
        </w:rPr>
        <w:t xml:space="preserve">the Company, as mentioned in clause (c) of sub-section (1) of Section 188 of the </w:t>
      </w:r>
      <w:r w:rsidR="00D92266">
        <w:rPr>
          <w:sz w:val="24"/>
          <w:szCs w:val="24"/>
        </w:rPr>
        <w:t xml:space="preserve">Companies </w:t>
      </w:r>
      <w:r w:rsidRPr="00B41DE0">
        <w:rPr>
          <w:sz w:val="24"/>
          <w:szCs w:val="24"/>
        </w:rPr>
        <w:t xml:space="preserve">Act; </w:t>
      </w:r>
    </w:p>
    <w:p w14:paraId="0DA9D2A8" w14:textId="10D50290" w:rsidR="00DC3B02" w:rsidRPr="00B41DE0" w:rsidRDefault="00DC3B02" w:rsidP="00B67A0B">
      <w:pPr>
        <w:pStyle w:val="Decimaloutlinedc5"/>
        <w:rPr>
          <w:sz w:val="24"/>
          <w:szCs w:val="24"/>
        </w:rPr>
      </w:pPr>
      <w:r w:rsidRPr="00B41DE0">
        <w:rPr>
          <w:sz w:val="24"/>
          <w:szCs w:val="24"/>
        </w:rPr>
        <w:t xml:space="preserve">Availing or rendering of any services, directly or through appointment of agent, amounting to ten per cent or more of the turnover of the Company, as mentioned in clause (d) and clause (e) respectively of sub-section (1) of Section 188 of the </w:t>
      </w:r>
      <w:r w:rsidR="00D92266">
        <w:rPr>
          <w:sz w:val="24"/>
          <w:szCs w:val="24"/>
        </w:rPr>
        <w:t xml:space="preserve">Companies </w:t>
      </w:r>
      <w:r w:rsidRPr="00B41DE0">
        <w:rPr>
          <w:sz w:val="24"/>
          <w:szCs w:val="24"/>
        </w:rPr>
        <w:t xml:space="preserve">Act; </w:t>
      </w:r>
    </w:p>
    <w:p w14:paraId="470326AF" w14:textId="776FCF8B" w:rsidR="00DC3B02" w:rsidRPr="00B41DE0" w:rsidRDefault="00DC3B02" w:rsidP="00B67A0B">
      <w:pPr>
        <w:pStyle w:val="Decimaloutlinedc5"/>
        <w:rPr>
          <w:sz w:val="24"/>
          <w:szCs w:val="24"/>
        </w:rPr>
      </w:pPr>
      <w:r w:rsidRPr="00B41DE0">
        <w:rPr>
          <w:sz w:val="24"/>
          <w:szCs w:val="24"/>
        </w:rPr>
        <w:t xml:space="preserve">Appointment to any office or place of profit in the Company, its subsidiary company or associate company at a monthly remuneration exceeding Rs. 2,50,000 (Rupees two lakh fifty thousand only) as mentioned in clause (f) of sub-section (1) of Section188 of the Act; or </w:t>
      </w:r>
    </w:p>
    <w:p w14:paraId="5EEFF57E" w14:textId="75FE4361" w:rsidR="00DC3B02" w:rsidRPr="00B41DE0" w:rsidRDefault="00DC3B02" w:rsidP="00B67A0B">
      <w:pPr>
        <w:pStyle w:val="Decimaloutlinedc5"/>
        <w:rPr>
          <w:sz w:val="24"/>
          <w:szCs w:val="24"/>
        </w:rPr>
      </w:pPr>
      <w:r w:rsidRPr="00B41DE0">
        <w:rPr>
          <w:sz w:val="24"/>
          <w:szCs w:val="24"/>
        </w:rPr>
        <w:t xml:space="preserve">Contract or arrangement in respect of remuneration for underwriting the subscription of any securities or derivatives thereof, of the Company exceeding </w:t>
      </w:r>
      <w:r w:rsidR="00D92266">
        <w:rPr>
          <w:sz w:val="24"/>
          <w:szCs w:val="24"/>
        </w:rPr>
        <w:lastRenderedPageBreak/>
        <w:t>1 (</w:t>
      </w:r>
      <w:r w:rsidRPr="00B41DE0">
        <w:rPr>
          <w:sz w:val="24"/>
          <w:szCs w:val="24"/>
        </w:rPr>
        <w:t>one</w:t>
      </w:r>
      <w:r w:rsidR="00D92266">
        <w:rPr>
          <w:sz w:val="24"/>
          <w:szCs w:val="24"/>
        </w:rPr>
        <w:t>)</w:t>
      </w:r>
      <w:r w:rsidRPr="00B41DE0">
        <w:rPr>
          <w:sz w:val="24"/>
          <w:szCs w:val="24"/>
        </w:rPr>
        <w:t xml:space="preserve"> per cent of the net worth of the Company as mentioned in clause (g) of sub-section (1) of Section 188 of the Act; </w:t>
      </w:r>
    </w:p>
    <w:p w14:paraId="2B64A5CD" w14:textId="77777777" w:rsidR="00DC3B02" w:rsidRPr="00B41DE0" w:rsidRDefault="00DC3B02" w:rsidP="00B67A0B">
      <w:pPr>
        <w:spacing w:after="200"/>
        <w:ind w:left="1701"/>
        <w:jc w:val="both"/>
        <w:textAlignment w:val="baseline"/>
        <w:rPr>
          <w:rFonts w:eastAsia="Arial"/>
          <w:sz w:val="24"/>
          <w:szCs w:val="24"/>
        </w:rPr>
      </w:pPr>
      <w:r w:rsidRPr="00B41DE0">
        <w:rPr>
          <w:rFonts w:eastAsia="Arial"/>
          <w:sz w:val="24"/>
          <w:szCs w:val="24"/>
        </w:rPr>
        <w:t xml:space="preserve">Provided that the requirement of passing the shareholders’ resolution as mentioned above shall not be applicable for transactions entered into between the Company and its wholly owned subsidiary whose accounts are consolidated with the Company and placed before the shareholders at the general meeting for approval. </w:t>
      </w:r>
    </w:p>
    <w:p w14:paraId="4F396903" w14:textId="1BAF75DF" w:rsidR="005C5117" w:rsidRPr="00B41DE0" w:rsidRDefault="00DC3B02" w:rsidP="00B67A0B">
      <w:pPr>
        <w:pStyle w:val="Decimaloutlinedc3"/>
        <w:rPr>
          <w:sz w:val="24"/>
          <w:szCs w:val="24"/>
        </w:rPr>
      </w:pPr>
      <w:r w:rsidRPr="00B41DE0">
        <w:rPr>
          <w:sz w:val="24"/>
          <w:szCs w:val="24"/>
        </w:rPr>
        <w:t xml:space="preserve">In the event the Audit Committee </w:t>
      </w:r>
      <w:r w:rsidR="00DF3C44" w:rsidRPr="00B41DE0">
        <w:rPr>
          <w:sz w:val="24"/>
          <w:szCs w:val="24"/>
        </w:rPr>
        <w:t>presents</w:t>
      </w:r>
      <w:r w:rsidRPr="00B41DE0">
        <w:rPr>
          <w:sz w:val="24"/>
          <w:szCs w:val="24"/>
        </w:rPr>
        <w:t xml:space="preserve"> a Related Party Transaction before the Board, or if the Board suo-moto elects to review any Related Party Transaction or if a Related Party Transaction is required to be approved by the Board in pursuance of the</w:t>
      </w:r>
      <w:r w:rsidR="00D92266">
        <w:rPr>
          <w:sz w:val="24"/>
          <w:szCs w:val="24"/>
        </w:rPr>
        <w:t xml:space="preserve"> Companies</w:t>
      </w:r>
      <w:r w:rsidRPr="00B41DE0">
        <w:rPr>
          <w:sz w:val="24"/>
          <w:szCs w:val="24"/>
        </w:rPr>
        <w:t xml:space="preserve"> Act, Rules or </w:t>
      </w:r>
      <w:r w:rsidR="00D92266">
        <w:rPr>
          <w:sz w:val="24"/>
          <w:szCs w:val="24"/>
        </w:rPr>
        <w:t xml:space="preserve">SEBI </w:t>
      </w:r>
      <w:r w:rsidRPr="00B41DE0">
        <w:rPr>
          <w:sz w:val="24"/>
          <w:szCs w:val="24"/>
        </w:rPr>
        <w:t xml:space="preserve">Listing Regulations, the process set forth in this </w:t>
      </w:r>
      <w:r w:rsidR="00D92266">
        <w:rPr>
          <w:sz w:val="24"/>
          <w:szCs w:val="24"/>
        </w:rPr>
        <w:t>C</w:t>
      </w:r>
      <w:r w:rsidRPr="00B41DE0">
        <w:rPr>
          <w:sz w:val="24"/>
          <w:szCs w:val="24"/>
        </w:rPr>
        <w:t xml:space="preserve">lause </w:t>
      </w:r>
      <w:r w:rsidR="00D92266">
        <w:rPr>
          <w:sz w:val="24"/>
          <w:szCs w:val="24"/>
        </w:rPr>
        <w:t>4</w:t>
      </w:r>
      <w:r w:rsidRPr="00B41DE0">
        <w:rPr>
          <w:sz w:val="24"/>
          <w:szCs w:val="24"/>
        </w:rPr>
        <w:t xml:space="preserve"> shall apply mutatis-mutandis for approval of such Related Party Transaction by the Board, subject to such exceptions as may be necessary or appropriate under the circumstances.</w:t>
      </w:r>
    </w:p>
    <w:p w14:paraId="4D0511FA" w14:textId="77777777" w:rsidR="00D92266" w:rsidRDefault="00DC3B02" w:rsidP="00D92266">
      <w:pPr>
        <w:pStyle w:val="Decimaloutlinedc1"/>
        <w:rPr>
          <w:sz w:val="24"/>
          <w:szCs w:val="24"/>
        </w:rPr>
      </w:pPr>
      <w:bookmarkStart w:id="8" w:name="_Toc199191504"/>
      <w:r w:rsidRPr="00B41DE0">
        <w:rPr>
          <w:sz w:val="24"/>
          <w:szCs w:val="24"/>
        </w:rPr>
        <w:t xml:space="preserve">Related Party Transactions not approved under the </w:t>
      </w:r>
      <w:r w:rsidR="00D92266">
        <w:rPr>
          <w:sz w:val="24"/>
          <w:szCs w:val="24"/>
        </w:rPr>
        <w:t>P</w:t>
      </w:r>
      <w:r w:rsidRPr="00B41DE0">
        <w:rPr>
          <w:sz w:val="24"/>
          <w:szCs w:val="24"/>
        </w:rPr>
        <w:t>olicy</w:t>
      </w:r>
      <w:bookmarkEnd w:id="8"/>
    </w:p>
    <w:p w14:paraId="463154FE" w14:textId="6C95E1D1" w:rsidR="007A6F38" w:rsidRPr="00D92266" w:rsidRDefault="00DC3B02" w:rsidP="00D92266">
      <w:pPr>
        <w:pStyle w:val="Decimaloutlinedc1"/>
        <w:numPr>
          <w:ilvl w:val="0"/>
          <w:numId w:val="0"/>
        </w:numPr>
        <w:ind w:left="432"/>
        <w:rPr>
          <w:b w:val="0"/>
          <w:bCs/>
          <w:sz w:val="24"/>
          <w:szCs w:val="24"/>
        </w:rPr>
      </w:pPr>
      <w:r w:rsidRPr="00D92266">
        <w:rPr>
          <w:b w:val="0"/>
          <w:bCs/>
          <w:sz w:val="24"/>
          <w:szCs w:val="24"/>
        </w:rPr>
        <w:t>In case the Audit Committee becomes aware of any Related Party Transaction that has not been approved as per the Policy, the matter shall be reviewed by the Audit Committee. The Audit Committee shall consider all the relevant facts and circumstances regarding the Related Party Transaction and shall evaluate all options available to the Company, including ratification, revision or termination of the said Related Party Transaction. The Audit Committee may examine the facts and circumstances of the case and take such action as it may deems appropriate.</w:t>
      </w:r>
    </w:p>
    <w:p w14:paraId="3E3389E8" w14:textId="4628A156" w:rsidR="005C20C1" w:rsidRPr="00B41DE0" w:rsidRDefault="00DC3B02" w:rsidP="00B67A0B">
      <w:pPr>
        <w:pStyle w:val="Decimaloutlinedc1"/>
        <w:rPr>
          <w:sz w:val="24"/>
          <w:szCs w:val="24"/>
        </w:rPr>
      </w:pPr>
      <w:bookmarkStart w:id="9" w:name="_Toc199191505"/>
      <w:r w:rsidRPr="00B41DE0">
        <w:rPr>
          <w:sz w:val="24"/>
          <w:szCs w:val="24"/>
        </w:rPr>
        <w:t>Disclosure of Related Party Transactions</w:t>
      </w:r>
      <w:bookmarkEnd w:id="9"/>
    </w:p>
    <w:p w14:paraId="5A3E64EB" w14:textId="358647BA" w:rsidR="00DC3B02" w:rsidRPr="00B41DE0" w:rsidRDefault="00DC3B02" w:rsidP="00B67A0B">
      <w:pPr>
        <w:spacing w:after="200"/>
        <w:ind w:left="426"/>
        <w:jc w:val="both"/>
        <w:textAlignment w:val="baseline"/>
        <w:rPr>
          <w:rFonts w:eastAsia="Arial"/>
          <w:sz w:val="24"/>
          <w:szCs w:val="24"/>
        </w:rPr>
      </w:pPr>
      <w:r w:rsidRPr="00B41DE0">
        <w:rPr>
          <w:rFonts w:eastAsia="Arial"/>
          <w:sz w:val="24"/>
          <w:szCs w:val="24"/>
        </w:rPr>
        <w:t xml:space="preserve">The particulars of Related Party Transactions shall be disclosed in such manner as may be prescribed under the </w:t>
      </w:r>
      <w:r w:rsidR="009456A3">
        <w:rPr>
          <w:rFonts w:eastAsia="Arial"/>
          <w:sz w:val="24"/>
          <w:szCs w:val="24"/>
        </w:rPr>
        <w:t>Companies Act, Rules, SEBI Listing Regulations and other applicable laws</w:t>
      </w:r>
      <w:r w:rsidRPr="00B41DE0">
        <w:rPr>
          <w:rFonts w:eastAsia="Arial"/>
          <w:sz w:val="24"/>
          <w:szCs w:val="24"/>
        </w:rPr>
        <w:t xml:space="preserve">. </w:t>
      </w:r>
    </w:p>
    <w:p w14:paraId="26B26AD5" w14:textId="07B3B978" w:rsidR="00DC3B02" w:rsidRPr="00B41DE0" w:rsidRDefault="00DC3B02" w:rsidP="00B67A0B">
      <w:pPr>
        <w:spacing w:after="200"/>
        <w:ind w:left="426"/>
        <w:jc w:val="both"/>
        <w:textAlignment w:val="baseline"/>
        <w:rPr>
          <w:rFonts w:eastAsia="Arial"/>
          <w:sz w:val="24"/>
          <w:szCs w:val="24"/>
        </w:rPr>
      </w:pPr>
      <w:r w:rsidRPr="00B41DE0">
        <w:rPr>
          <w:rFonts w:eastAsia="Arial"/>
          <w:sz w:val="24"/>
          <w:szCs w:val="24"/>
        </w:rPr>
        <w:t xml:space="preserve">The particulars of Related Party Transactions should be entered in the register(s) maintained under the </w:t>
      </w:r>
      <w:r w:rsidR="009456A3">
        <w:rPr>
          <w:rFonts w:eastAsia="Arial"/>
          <w:sz w:val="24"/>
          <w:szCs w:val="24"/>
        </w:rPr>
        <w:t xml:space="preserve">Companies </w:t>
      </w:r>
      <w:r w:rsidRPr="00B41DE0">
        <w:rPr>
          <w:rFonts w:eastAsia="Arial"/>
          <w:sz w:val="24"/>
          <w:szCs w:val="24"/>
        </w:rPr>
        <w:t xml:space="preserve">Act, wherever applicable. </w:t>
      </w:r>
    </w:p>
    <w:p w14:paraId="496CE0D5" w14:textId="07D5718D" w:rsidR="003F49D4" w:rsidRPr="00B41DE0" w:rsidRDefault="009456A3" w:rsidP="00B67A0B">
      <w:pPr>
        <w:spacing w:after="200"/>
        <w:ind w:left="426"/>
        <w:jc w:val="both"/>
        <w:textAlignment w:val="baseline"/>
        <w:rPr>
          <w:rFonts w:eastAsia="Arial"/>
          <w:sz w:val="24"/>
          <w:szCs w:val="24"/>
        </w:rPr>
      </w:pPr>
      <w:r>
        <w:rPr>
          <w:rFonts w:eastAsia="Arial"/>
          <w:sz w:val="24"/>
          <w:szCs w:val="24"/>
        </w:rPr>
        <w:t>T</w:t>
      </w:r>
      <w:r w:rsidR="003F49D4" w:rsidRPr="00B41DE0">
        <w:rPr>
          <w:rFonts w:eastAsia="Arial"/>
          <w:sz w:val="24"/>
          <w:szCs w:val="24"/>
        </w:rPr>
        <w:t>he Company shall make such disclosures every six months on the date of publication of its standalone and consolidated financial results</w:t>
      </w:r>
      <w:r>
        <w:rPr>
          <w:rFonts w:eastAsia="Arial"/>
          <w:sz w:val="24"/>
          <w:szCs w:val="24"/>
        </w:rPr>
        <w:t xml:space="preserve"> </w:t>
      </w:r>
      <w:r w:rsidRPr="00B41DE0">
        <w:rPr>
          <w:rFonts w:eastAsia="Arial"/>
          <w:sz w:val="24"/>
          <w:szCs w:val="24"/>
        </w:rPr>
        <w:t>for the half year, of related party transactions, if any, to the stock exchanges on a consolidated basis, in the format specified in the relevant accounting standards for annual results and publish the same on its website</w:t>
      </w:r>
      <w:r w:rsidR="003F49D4" w:rsidRPr="00B41DE0">
        <w:rPr>
          <w:rFonts w:eastAsia="Arial"/>
          <w:sz w:val="24"/>
          <w:szCs w:val="24"/>
        </w:rPr>
        <w:t>.</w:t>
      </w:r>
    </w:p>
    <w:p w14:paraId="6198E4DC" w14:textId="4CC821FB" w:rsidR="00F85411" w:rsidRPr="00B41DE0" w:rsidRDefault="00DC3B02" w:rsidP="00B67A0B">
      <w:pPr>
        <w:pStyle w:val="Decimaloutlinedc1"/>
        <w:rPr>
          <w:sz w:val="24"/>
          <w:szCs w:val="24"/>
        </w:rPr>
      </w:pPr>
      <w:bookmarkStart w:id="10" w:name="_Toc199191506"/>
      <w:bookmarkStart w:id="11" w:name="_Hlk98851478"/>
      <w:r w:rsidRPr="00B41DE0">
        <w:rPr>
          <w:sz w:val="24"/>
          <w:szCs w:val="24"/>
        </w:rPr>
        <w:t xml:space="preserve">Amendment and </w:t>
      </w:r>
      <w:r w:rsidR="00F85411" w:rsidRPr="00B41DE0">
        <w:rPr>
          <w:sz w:val="24"/>
          <w:szCs w:val="24"/>
        </w:rPr>
        <w:t>Review</w:t>
      </w:r>
      <w:bookmarkEnd w:id="10"/>
    </w:p>
    <w:bookmarkEnd w:id="11"/>
    <w:p w14:paraId="1EA6C8A6" w14:textId="089E42AA" w:rsidR="00B67A0B" w:rsidRPr="00B41DE0" w:rsidRDefault="00B67A0B" w:rsidP="00B67A0B">
      <w:pPr>
        <w:spacing w:after="200"/>
        <w:ind w:left="426"/>
        <w:jc w:val="both"/>
        <w:textAlignment w:val="baseline"/>
        <w:rPr>
          <w:rFonts w:eastAsia="Arial"/>
          <w:sz w:val="24"/>
          <w:szCs w:val="24"/>
        </w:rPr>
      </w:pPr>
      <w:r w:rsidRPr="00B41DE0">
        <w:rPr>
          <w:rFonts w:eastAsia="Arial"/>
          <w:sz w:val="24"/>
          <w:szCs w:val="24"/>
        </w:rPr>
        <w:t xml:space="preserve">Subject to applicable laws, the Board may amend, suspend or rescind this </w:t>
      </w:r>
      <w:r w:rsidR="009456A3">
        <w:rPr>
          <w:rFonts w:eastAsia="Arial"/>
          <w:sz w:val="24"/>
          <w:szCs w:val="24"/>
        </w:rPr>
        <w:t>P</w:t>
      </w:r>
      <w:r w:rsidRPr="00B41DE0">
        <w:rPr>
          <w:rFonts w:eastAsia="Arial"/>
          <w:sz w:val="24"/>
          <w:szCs w:val="24"/>
        </w:rPr>
        <w:t xml:space="preserve">olicy at any time. Any issues pertaining to the Policy shall be resolved by the Board in line with the broad intent of the Policy. The Board may also establish further rules and procedures, from time to time, to give effect to the intent of this Policy. </w:t>
      </w:r>
    </w:p>
    <w:p w14:paraId="4190C275" w14:textId="7871D47F" w:rsidR="00E31233" w:rsidRPr="00B41DE0" w:rsidRDefault="00B67A0B" w:rsidP="00B67A0B">
      <w:pPr>
        <w:spacing w:after="200"/>
        <w:ind w:left="426"/>
        <w:jc w:val="both"/>
        <w:textAlignment w:val="baseline"/>
        <w:rPr>
          <w:rFonts w:eastAsia="Arial"/>
          <w:sz w:val="24"/>
          <w:szCs w:val="24"/>
        </w:rPr>
      </w:pPr>
      <w:r w:rsidRPr="00B41DE0">
        <w:rPr>
          <w:rFonts w:eastAsia="Arial"/>
          <w:sz w:val="24"/>
          <w:szCs w:val="24"/>
        </w:rPr>
        <w:t>In the event of any conflict between the provisions of this Policy and any applicable law</w:t>
      </w:r>
      <w:r w:rsidR="002C45F5">
        <w:rPr>
          <w:rFonts w:eastAsia="Arial"/>
          <w:sz w:val="24"/>
          <w:szCs w:val="24"/>
        </w:rPr>
        <w:t>s</w:t>
      </w:r>
      <w:r w:rsidRPr="00B41DE0">
        <w:rPr>
          <w:rFonts w:eastAsia="Arial"/>
          <w:sz w:val="24"/>
          <w:szCs w:val="24"/>
        </w:rPr>
        <w:t>, such applicable law</w:t>
      </w:r>
      <w:r w:rsidR="002C45F5">
        <w:rPr>
          <w:rFonts w:eastAsia="Arial"/>
          <w:sz w:val="24"/>
          <w:szCs w:val="24"/>
        </w:rPr>
        <w:t>s</w:t>
      </w:r>
      <w:r w:rsidRPr="00B41DE0">
        <w:rPr>
          <w:rFonts w:eastAsia="Arial"/>
          <w:sz w:val="24"/>
          <w:szCs w:val="24"/>
        </w:rPr>
        <w:t xml:space="preserve"> in force, shall prevail over this Policy.</w:t>
      </w:r>
    </w:p>
    <w:p w14:paraId="1BFB9A39" w14:textId="012C8520" w:rsidR="003F49D4" w:rsidRPr="00B41DE0" w:rsidRDefault="000F21D1" w:rsidP="00B67A0B">
      <w:pPr>
        <w:pStyle w:val="Decimaloutlinedc1"/>
        <w:rPr>
          <w:sz w:val="24"/>
          <w:szCs w:val="24"/>
        </w:rPr>
      </w:pPr>
      <w:bookmarkStart w:id="12" w:name="_Toc199191507"/>
      <w:r w:rsidRPr="00B41DE0">
        <w:rPr>
          <w:sz w:val="24"/>
          <w:szCs w:val="24"/>
        </w:rPr>
        <w:t>General</w:t>
      </w:r>
      <w:bookmarkEnd w:id="12"/>
    </w:p>
    <w:p w14:paraId="21817C72" w14:textId="47B9122B" w:rsidR="00B67A0B" w:rsidRPr="00B41DE0" w:rsidRDefault="003F49D4" w:rsidP="00B67A0B">
      <w:pPr>
        <w:spacing w:after="200"/>
        <w:ind w:left="426"/>
        <w:jc w:val="both"/>
        <w:textAlignment w:val="baseline"/>
        <w:rPr>
          <w:rFonts w:eastAsia="Arial"/>
          <w:sz w:val="24"/>
          <w:szCs w:val="24"/>
        </w:rPr>
      </w:pPr>
      <w:r w:rsidRPr="00B41DE0">
        <w:rPr>
          <w:sz w:val="24"/>
          <w:szCs w:val="24"/>
          <w:lang w:val="en-IN"/>
        </w:rPr>
        <w:t>This Policy shall be posted on the website of the Company at</w:t>
      </w:r>
      <w:r w:rsidR="00457314">
        <w:rPr>
          <w:sz w:val="24"/>
          <w:szCs w:val="24"/>
          <w:lang w:val="en-IN"/>
        </w:rPr>
        <w:t xml:space="preserve"> www.nainipapers.com</w:t>
      </w:r>
      <w:r w:rsidRPr="00B41DE0">
        <w:rPr>
          <w:sz w:val="24"/>
          <w:szCs w:val="24"/>
          <w:lang w:val="en-IN"/>
        </w:rPr>
        <w:t xml:space="preserve"> </w:t>
      </w:r>
      <w:r w:rsidR="00B67A0B" w:rsidRPr="00B41DE0">
        <w:rPr>
          <w:rFonts w:eastAsia="Arial"/>
          <w:sz w:val="24"/>
          <w:szCs w:val="24"/>
        </w:rPr>
        <w:t xml:space="preserve">and a web-link thereto shall be provided in the </w:t>
      </w:r>
      <w:r w:rsidR="009456A3">
        <w:rPr>
          <w:rFonts w:eastAsia="Arial"/>
          <w:sz w:val="24"/>
          <w:szCs w:val="24"/>
        </w:rPr>
        <w:t>a</w:t>
      </w:r>
      <w:r w:rsidR="00B67A0B" w:rsidRPr="00B41DE0">
        <w:rPr>
          <w:rFonts w:eastAsia="Arial"/>
          <w:sz w:val="24"/>
          <w:szCs w:val="24"/>
        </w:rPr>
        <w:t xml:space="preserve">nnual </w:t>
      </w:r>
      <w:r w:rsidR="009456A3">
        <w:rPr>
          <w:rFonts w:eastAsia="Arial"/>
          <w:sz w:val="24"/>
          <w:szCs w:val="24"/>
        </w:rPr>
        <w:t>r</w:t>
      </w:r>
      <w:r w:rsidR="00B67A0B" w:rsidRPr="00B41DE0">
        <w:rPr>
          <w:rFonts w:eastAsia="Arial"/>
          <w:sz w:val="24"/>
          <w:szCs w:val="24"/>
        </w:rPr>
        <w:t>eport of the Company.</w:t>
      </w:r>
    </w:p>
    <w:p w14:paraId="4F1E92B1" w14:textId="4EA04A18" w:rsidR="003F49D4" w:rsidRPr="00B41DE0" w:rsidRDefault="003F49D4" w:rsidP="00B41DE0">
      <w:pPr>
        <w:spacing w:after="200"/>
        <w:ind w:left="426"/>
        <w:rPr>
          <w:sz w:val="24"/>
          <w:szCs w:val="24"/>
          <w:lang w:val="en-IN"/>
        </w:rPr>
      </w:pPr>
      <w:r w:rsidRPr="00B41DE0">
        <w:rPr>
          <w:sz w:val="24"/>
          <w:szCs w:val="24"/>
          <w:lang w:val="en-IN"/>
        </w:rPr>
        <w:t xml:space="preserve"> </w:t>
      </w:r>
      <w:bookmarkEnd w:id="1"/>
    </w:p>
    <w:sectPr w:rsidR="003F49D4" w:rsidRPr="00B41DE0" w:rsidSect="00C079B4">
      <w:footerReference w:type="default" r:id="rId8"/>
      <w:pgSz w:w="11909" w:h="16838"/>
      <w:pgMar w:top="1440" w:right="1080" w:bottom="1440" w:left="1080" w:header="720"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B6FD0" w14:textId="77777777" w:rsidR="00CE7D2D" w:rsidRDefault="00CE7D2D" w:rsidP="009E17AD">
      <w:r>
        <w:separator/>
      </w:r>
    </w:p>
  </w:endnote>
  <w:endnote w:type="continuationSeparator" w:id="0">
    <w:p w14:paraId="4431AB2E" w14:textId="77777777" w:rsidR="00CE7D2D" w:rsidRDefault="00CE7D2D" w:rsidP="009E17AD">
      <w:r>
        <w:continuationSeparator/>
      </w:r>
    </w:p>
  </w:endnote>
  <w:endnote w:type="continuationNotice" w:id="1">
    <w:p w14:paraId="29E8A598" w14:textId="77777777" w:rsidR="00CE7D2D" w:rsidRDefault="00CE7D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rlito">
    <w:altName w:val="Cambria"/>
    <w:charset w:val="00"/>
    <w:family w:val="swiss"/>
    <w:pitch w:val="variable"/>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Segoe UI">
    <w:charset w:val="00"/>
    <w:pitch w:val="variable"/>
    <w:family w:val="swiss"/>
    <w:panose1 w:val="02020603050405020304"/>
  </w:font>
  <w:font w:name="Times New Roman">
    <w:charset w:val="00"/>
    <w:pitch w:val="variable"/>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FB2DD" w14:textId="77777777" w:rsidR="000F4220" w:rsidRDefault="000F4220" w:rsidP="00A22F5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499E7" w14:textId="77777777" w:rsidR="00CE7D2D" w:rsidRDefault="00CE7D2D" w:rsidP="009E17AD">
      <w:r>
        <w:separator/>
      </w:r>
    </w:p>
  </w:footnote>
  <w:footnote w:type="continuationSeparator" w:id="0">
    <w:p w14:paraId="36E0032F" w14:textId="77777777" w:rsidR="00CE7D2D" w:rsidRDefault="00CE7D2D" w:rsidP="009E17AD">
      <w:r>
        <w:continuationSeparator/>
      </w:r>
    </w:p>
  </w:footnote>
  <w:footnote w:type="continuationNotice" w:id="1">
    <w:p w14:paraId="174A54FD" w14:textId="77777777" w:rsidR="00CE7D2D" w:rsidRDefault="00CE7D2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7817"/>
    <w:multiLevelType w:val="multilevel"/>
    <w:tmpl w:val="0A92C25C"/>
    <w:name w:val="DocXtoolsCompanion_1"/>
    <w:lvl w:ilvl="0">
      <w:start w:val="1"/>
      <w:numFmt w:val="lowerLetter"/>
      <w:lvlText w:val="%1)"/>
      <w:lvlJc w:val="left"/>
      <w:pPr>
        <w:tabs>
          <w:tab w:val="left" w:pos="360"/>
        </w:tabs>
      </w:pPr>
      <w:rPr>
        <w:rFonts w:asciiTheme="minorHAnsi" w:eastAsia="Arial" w:hAnsiTheme="minorHAnsi" w:cstheme="minorHAnsi" w:hint="default"/>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543500"/>
    <w:multiLevelType w:val="hybridMultilevel"/>
    <w:tmpl w:val="6D609B26"/>
    <w:name w:val="DocXtoolsCompanion_2"/>
    <w:lvl w:ilvl="0" w:tplc="4009001B">
      <w:start w:val="1"/>
      <w:numFmt w:val="lowerRoman"/>
      <w:lvlText w:val="%1."/>
      <w:lvlJc w:val="righ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3A62003"/>
    <w:multiLevelType w:val="multilevel"/>
    <w:tmpl w:val="AAB695F8"/>
    <w:name w:val="DocXtoolsCompanion_3"/>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015386"/>
    <w:multiLevelType w:val="hybridMultilevel"/>
    <w:tmpl w:val="078E1734"/>
    <w:name w:val="DocXtoolsCompanion_4"/>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8EF6AB1"/>
    <w:multiLevelType w:val="hybridMultilevel"/>
    <w:tmpl w:val="078E1734"/>
    <w:name w:val="DocXtoolsCompanion_5"/>
    <w:lvl w:ilvl="0" w:tplc="6506343A">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B613A16"/>
    <w:multiLevelType w:val="hybridMultilevel"/>
    <w:tmpl w:val="1A3020A8"/>
    <w:name w:val="DocXtoolsCompanion_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C7514AE"/>
    <w:multiLevelType w:val="multilevel"/>
    <w:tmpl w:val="AB30F8BE"/>
    <w:name w:val="DocXtoolsCompanion_7"/>
    <w:lvl w:ilvl="0">
      <w:start w:val="1"/>
      <w:numFmt w:val="lowerLetter"/>
      <w:lvlText w:val="%1)"/>
      <w:lvlJc w:val="left"/>
      <w:pPr>
        <w:tabs>
          <w:tab w:val="left" w:pos="786"/>
        </w:tabs>
      </w:pPr>
      <w:rPr>
        <w:rFonts w:asciiTheme="minorHAnsi" w:eastAsia="Arial" w:hAnsiTheme="minorHAnsi" w:cstheme="minorHAnsi" w:hint="default"/>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6748BB"/>
    <w:multiLevelType w:val="hybridMultilevel"/>
    <w:tmpl w:val="EEAE4488"/>
    <w:name w:val="DocXtoolsCompanion_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1977D38"/>
    <w:multiLevelType w:val="hybridMultilevel"/>
    <w:tmpl w:val="611CF1BC"/>
    <w:name w:val="DocXtoolsCompanion_18"/>
    <w:lvl w:ilvl="0" w:tplc="40090019">
      <w:start w:val="1"/>
      <w:numFmt w:val="lowerLetter"/>
      <w:lvlText w:val="%1."/>
      <w:lvlJc w:val="left"/>
      <w:pPr>
        <w:ind w:left="1713" w:hanging="360"/>
      </w:pPr>
    </w:lvl>
    <w:lvl w:ilvl="1" w:tplc="40090019">
      <w:start w:val="1"/>
      <w:numFmt w:val="lowerLetter"/>
      <w:lvlText w:val="%2."/>
      <w:lvlJc w:val="left"/>
      <w:pPr>
        <w:ind w:left="2433" w:hanging="360"/>
      </w:pPr>
    </w:lvl>
    <w:lvl w:ilvl="2" w:tplc="4009001B" w:tentative="1">
      <w:start w:val="1"/>
      <w:numFmt w:val="lowerRoman"/>
      <w:lvlText w:val="%3."/>
      <w:lvlJc w:val="right"/>
      <w:pPr>
        <w:ind w:left="3153" w:hanging="180"/>
      </w:pPr>
    </w:lvl>
    <w:lvl w:ilvl="3" w:tplc="4009000F" w:tentative="1">
      <w:start w:val="1"/>
      <w:numFmt w:val="decimal"/>
      <w:lvlText w:val="%4."/>
      <w:lvlJc w:val="left"/>
      <w:pPr>
        <w:ind w:left="3873" w:hanging="360"/>
      </w:pPr>
    </w:lvl>
    <w:lvl w:ilvl="4" w:tplc="40090019" w:tentative="1">
      <w:start w:val="1"/>
      <w:numFmt w:val="lowerLetter"/>
      <w:lvlText w:val="%5."/>
      <w:lvlJc w:val="left"/>
      <w:pPr>
        <w:ind w:left="4593" w:hanging="360"/>
      </w:pPr>
    </w:lvl>
    <w:lvl w:ilvl="5" w:tplc="4009001B" w:tentative="1">
      <w:start w:val="1"/>
      <w:numFmt w:val="lowerRoman"/>
      <w:lvlText w:val="%6."/>
      <w:lvlJc w:val="right"/>
      <w:pPr>
        <w:ind w:left="5313" w:hanging="180"/>
      </w:pPr>
    </w:lvl>
    <w:lvl w:ilvl="6" w:tplc="4009000F" w:tentative="1">
      <w:start w:val="1"/>
      <w:numFmt w:val="decimal"/>
      <w:lvlText w:val="%7."/>
      <w:lvlJc w:val="left"/>
      <w:pPr>
        <w:ind w:left="6033" w:hanging="360"/>
      </w:pPr>
    </w:lvl>
    <w:lvl w:ilvl="7" w:tplc="40090019" w:tentative="1">
      <w:start w:val="1"/>
      <w:numFmt w:val="lowerLetter"/>
      <w:lvlText w:val="%8."/>
      <w:lvlJc w:val="left"/>
      <w:pPr>
        <w:ind w:left="6753" w:hanging="360"/>
      </w:pPr>
    </w:lvl>
    <w:lvl w:ilvl="8" w:tplc="4009001B" w:tentative="1">
      <w:start w:val="1"/>
      <w:numFmt w:val="lowerRoman"/>
      <w:lvlText w:val="%9."/>
      <w:lvlJc w:val="right"/>
      <w:pPr>
        <w:ind w:left="7473" w:hanging="180"/>
      </w:pPr>
    </w:lvl>
  </w:abstractNum>
  <w:abstractNum w:abstractNumId="9" w15:restartNumberingAfterBreak="0">
    <w:nsid w:val="13AD7E61"/>
    <w:multiLevelType w:val="hybridMultilevel"/>
    <w:tmpl w:val="67F8FF2E"/>
    <w:name w:val="DocXtoolsCompanion_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48B5EF4"/>
    <w:multiLevelType w:val="multilevel"/>
    <w:tmpl w:val="AB30F8BE"/>
    <w:name w:val="DocXtoolsCompanion_11"/>
    <w:lvl w:ilvl="0">
      <w:start w:val="1"/>
      <w:numFmt w:val="lowerLetter"/>
      <w:lvlText w:val="%1)"/>
      <w:lvlJc w:val="left"/>
      <w:pPr>
        <w:tabs>
          <w:tab w:val="left" w:pos="786"/>
        </w:tabs>
      </w:pPr>
      <w:rPr>
        <w:rFonts w:asciiTheme="minorHAnsi" w:eastAsia="Arial" w:hAnsiTheme="minorHAnsi" w:cstheme="minorHAnsi" w:hint="default"/>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6C11614"/>
    <w:multiLevelType w:val="hybridMultilevel"/>
    <w:tmpl w:val="5E729002"/>
    <w:name w:val="DocXtoolsCompanion_182"/>
    <w:lvl w:ilvl="0" w:tplc="4009001B">
      <w:start w:val="1"/>
      <w:numFmt w:val="lowerRoman"/>
      <w:lvlText w:val="%1."/>
      <w:lvlJc w:val="right"/>
      <w:pPr>
        <w:ind w:left="1713" w:hanging="360"/>
      </w:pPr>
    </w:lvl>
    <w:lvl w:ilvl="1" w:tplc="40090019" w:tentative="1">
      <w:start w:val="1"/>
      <w:numFmt w:val="lowerLetter"/>
      <w:lvlText w:val="%2."/>
      <w:lvlJc w:val="left"/>
      <w:pPr>
        <w:ind w:left="2433" w:hanging="360"/>
      </w:pPr>
    </w:lvl>
    <w:lvl w:ilvl="2" w:tplc="4009001B" w:tentative="1">
      <w:start w:val="1"/>
      <w:numFmt w:val="lowerRoman"/>
      <w:lvlText w:val="%3."/>
      <w:lvlJc w:val="right"/>
      <w:pPr>
        <w:ind w:left="3153" w:hanging="180"/>
      </w:pPr>
    </w:lvl>
    <w:lvl w:ilvl="3" w:tplc="4009000F" w:tentative="1">
      <w:start w:val="1"/>
      <w:numFmt w:val="decimal"/>
      <w:lvlText w:val="%4."/>
      <w:lvlJc w:val="left"/>
      <w:pPr>
        <w:ind w:left="3873" w:hanging="360"/>
      </w:pPr>
    </w:lvl>
    <w:lvl w:ilvl="4" w:tplc="40090019" w:tentative="1">
      <w:start w:val="1"/>
      <w:numFmt w:val="lowerLetter"/>
      <w:lvlText w:val="%5."/>
      <w:lvlJc w:val="left"/>
      <w:pPr>
        <w:ind w:left="4593" w:hanging="360"/>
      </w:pPr>
    </w:lvl>
    <w:lvl w:ilvl="5" w:tplc="4009001B" w:tentative="1">
      <w:start w:val="1"/>
      <w:numFmt w:val="lowerRoman"/>
      <w:lvlText w:val="%6."/>
      <w:lvlJc w:val="right"/>
      <w:pPr>
        <w:ind w:left="5313" w:hanging="180"/>
      </w:pPr>
    </w:lvl>
    <w:lvl w:ilvl="6" w:tplc="4009000F" w:tentative="1">
      <w:start w:val="1"/>
      <w:numFmt w:val="decimal"/>
      <w:lvlText w:val="%7."/>
      <w:lvlJc w:val="left"/>
      <w:pPr>
        <w:ind w:left="6033" w:hanging="360"/>
      </w:pPr>
    </w:lvl>
    <w:lvl w:ilvl="7" w:tplc="40090019" w:tentative="1">
      <w:start w:val="1"/>
      <w:numFmt w:val="lowerLetter"/>
      <w:lvlText w:val="%8."/>
      <w:lvlJc w:val="left"/>
      <w:pPr>
        <w:ind w:left="6753" w:hanging="360"/>
      </w:pPr>
    </w:lvl>
    <w:lvl w:ilvl="8" w:tplc="4009001B" w:tentative="1">
      <w:start w:val="1"/>
      <w:numFmt w:val="lowerRoman"/>
      <w:lvlText w:val="%9."/>
      <w:lvlJc w:val="right"/>
      <w:pPr>
        <w:ind w:left="7473" w:hanging="180"/>
      </w:pPr>
    </w:lvl>
  </w:abstractNum>
  <w:abstractNum w:abstractNumId="12" w15:restartNumberingAfterBreak="0">
    <w:nsid w:val="195F0C6C"/>
    <w:multiLevelType w:val="multilevel"/>
    <w:tmpl w:val="0A92C25C"/>
    <w:lvl w:ilvl="0">
      <w:start w:val="1"/>
      <w:numFmt w:val="lowerLetter"/>
      <w:lvlText w:val="%1)"/>
      <w:lvlJc w:val="left"/>
      <w:pPr>
        <w:tabs>
          <w:tab w:val="left" w:pos="360"/>
        </w:tabs>
      </w:pPr>
      <w:rPr>
        <w:rFonts w:asciiTheme="minorHAnsi" w:eastAsia="Arial" w:hAnsiTheme="minorHAnsi" w:cstheme="minorHAnsi" w:hint="default"/>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D56E3F"/>
    <w:multiLevelType w:val="hybridMultilevel"/>
    <w:tmpl w:val="89122032"/>
    <w:name w:val="DocXtoolsCompanion_14"/>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CED53E9"/>
    <w:multiLevelType w:val="hybridMultilevel"/>
    <w:tmpl w:val="F00EDFAE"/>
    <w:name w:val="DocXtoolsCompanion_15"/>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3C08F4"/>
    <w:multiLevelType w:val="hybridMultilevel"/>
    <w:tmpl w:val="53A69AC6"/>
    <w:name w:val="DocXtoolsCompanion_132"/>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23B50161"/>
    <w:multiLevelType w:val="multilevel"/>
    <w:tmpl w:val="0A92C25C"/>
    <w:name w:val="DocXtoolsCompanion_17"/>
    <w:lvl w:ilvl="0">
      <w:start w:val="1"/>
      <w:numFmt w:val="lowerLetter"/>
      <w:lvlText w:val="%1)"/>
      <w:lvlJc w:val="left"/>
      <w:pPr>
        <w:tabs>
          <w:tab w:val="left" w:pos="360"/>
        </w:tabs>
      </w:pPr>
      <w:rPr>
        <w:rFonts w:asciiTheme="minorHAnsi" w:eastAsia="Arial" w:hAnsiTheme="minorHAnsi" w:cstheme="minorHAnsi" w:hint="default"/>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4852B0C"/>
    <w:multiLevelType w:val="hybridMultilevel"/>
    <w:tmpl w:val="70BC5FC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8770A51"/>
    <w:multiLevelType w:val="hybridMultilevel"/>
    <w:tmpl w:val="F00EDFAE"/>
    <w:name w:val="DocXtoolsCompanion_19"/>
    <w:lvl w:ilvl="0" w:tplc="40090017">
      <w:start w:val="1"/>
      <w:numFmt w:val="lowerLetter"/>
      <w:lvlText w:val="%1)"/>
      <w:lvlJc w:val="left"/>
      <w:pPr>
        <w:ind w:left="504" w:hanging="360"/>
      </w:pPr>
    </w:lvl>
    <w:lvl w:ilvl="1" w:tplc="40090019" w:tentative="1">
      <w:start w:val="1"/>
      <w:numFmt w:val="lowerLetter"/>
      <w:lvlText w:val="%2."/>
      <w:lvlJc w:val="left"/>
      <w:pPr>
        <w:ind w:left="1224" w:hanging="360"/>
      </w:pPr>
    </w:lvl>
    <w:lvl w:ilvl="2" w:tplc="4009001B" w:tentative="1">
      <w:start w:val="1"/>
      <w:numFmt w:val="lowerRoman"/>
      <w:lvlText w:val="%3."/>
      <w:lvlJc w:val="right"/>
      <w:pPr>
        <w:ind w:left="1944" w:hanging="180"/>
      </w:pPr>
    </w:lvl>
    <w:lvl w:ilvl="3" w:tplc="4009000F" w:tentative="1">
      <w:start w:val="1"/>
      <w:numFmt w:val="decimal"/>
      <w:lvlText w:val="%4."/>
      <w:lvlJc w:val="left"/>
      <w:pPr>
        <w:ind w:left="2664" w:hanging="360"/>
      </w:pPr>
    </w:lvl>
    <w:lvl w:ilvl="4" w:tplc="40090019" w:tentative="1">
      <w:start w:val="1"/>
      <w:numFmt w:val="lowerLetter"/>
      <w:lvlText w:val="%5."/>
      <w:lvlJc w:val="left"/>
      <w:pPr>
        <w:ind w:left="3384" w:hanging="360"/>
      </w:pPr>
    </w:lvl>
    <w:lvl w:ilvl="5" w:tplc="4009001B" w:tentative="1">
      <w:start w:val="1"/>
      <w:numFmt w:val="lowerRoman"/>
      <w:lvlText w:val="%6."/>
      <w:lvlJc w:val="right"/>
      <w:pPr>
        <w:ind w:left="4104" w:hanging="180"/>
      </w:pPr>
    </w:lvl>
    <w:lvl w:ilvl="6" w:tplc="4009000F" w:tentative="1">
      <w:start w:val="1"/>
      <w:numFmt w:val="decimal"/>
      <w:lvlText w:val="%7."/>
      <w:lvlJc w:val="left"/>
      <w:pPr>
        <w:ind w:left="4824" w:hanging="360"/>
      </w:pPr>
    </w:lvl>
    <w:lvl w:ilvl="7" w:tplc="40090019" w:tentative="1">
      <w:start w:val="1"/>
      <w:numFmt w:val="lowerLetter"/>
      <w:lvlText w:val="%8."/>
      <w:lvlJc w:val="left"/>
      <w:pPr>
        <w:ind w:left="5544" w:hanging="360"/>
      </w:pPr>
    </w:lvl>
    <w:lvl w:ilvl="8" w:tplc="4009001B" w:tentative="1">
      <w:start w:val="1"/>
      <w:numFmt w:val="lowerRoman"/>
      <w:lvlText w:val="%9."/>
      <w:lvlJc w:val="right"/>
      <w:pPr>
        <w:ind w:left="6264" w:hanging="180"/>
      </w:pPr>
    </w:lvl>
  </w:abstractNum>
  <w:abstractNum w:abstractNumId="19" w15:restartNumberingAfterBreak="0">
    <w:nsid w:val="2A2A5B47"/>
    <w:multiLevelType w:val="multilevel"/>
    <w:tmpl w:val="5E74DF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A2E600E"/>
    <w:multiLevelType w:val="multilevel"/>
    <w:tmpl w:val="CCD48052"/>
    <w:name w:val="DocXtoolsCompanion_20"/>
    <w:lvl w:ilvl="0">
      <w:start w:val="1"/>
      <w:numFmt w:val="decimal"/>
      <w:pStyle w:val="Decimaloutlinedc11"/>
      <w:lvlText w:val="%1."/>
      <w:lvlJc w:val="left"/>
      <w:pPr>
        <w:tabs>
          <w:tab w:val="num" w:pos="720"/>
        </w:tabs>
        <w:ind w:left="432" w:firstLine="0"/>
      </w:pPr>
      <w:rPr>
        <w:rFonts w:ascii="Times New Roman" w:hAnsi="Times New Roman" w:cs="Times New Roman"/>
        <w:b/>
        <w:sz w:val="22"/>
      </w:rPr>
    </w:lvl>
    <w:lvl w:ilvl="1">
      <w:start w:val="1"/>
      <w:numFmt w:val="decimal"/>
      <w:pStyle w:val="Decimaloutlinedc12"/>
      <w:isLgl/>
      <w:lvlText w:val="%1.%2"/>
      <w:lvlJc w:val="left"/>
      <w:pPr>
        <w:tabs>
          <w:tab w:val="num" w:pos="720"/>
        </w:tabs>
        <w:ind w:left="432" w:firstLine="0"/>
      </w:pPr>
      <w:rPr>
        <w:rFonts w:ascii="Times New Roman" w:hAnsi="Times New Roman" w:cs="Times New Roman"/>
        <w:b/>
        <w:sz w:val="22"/>
      </w:rPr>
    </w:lvl>
    <w:lvl w:ilvl="2">
      <w:start w:val="1"/>
      <w:numFmt w:val="decimal"/>
      <w:lvlText w:val="%1.%2.%3"/>
      <w:lvlJc w:val="left"/>
      <w:pPr>
        <w:tabs>
          <w:tab w:val="num" w:pos="720"/>
        </w:tabs>
        <w:ind w:left="720" w:hanging="720"/>
      </w:pPr>
    </w:lvl>
    <w:lvl w:ilvl="3">
      <w:start w:val="1"/>
      <w:numFmt w:val="lowerRoman"/>
      <w:lvlText w:val="%4."/>
      <w:lvlJc w:val="right"/>
      <w:pPr>
        <w:tabs>
          <w:tab w:val="num" w:pos="1440"/>
        </w:tabs>
        <w:ind w:left="1440" w:hanging="720"/>
      </w:pPr>
      <w:rPr>
        <w:b w:val="0"/>
      </w:rPr>
    </w:lvl>
    <w:lvl w:ilvl="4">
      <w:start w:val="1"/>
      <w:numFmt w:val="lowerRoman"/>
      <w:lvlText w:val="(%5)"/>
      <w:lvlJc w:val="left"/>
      <w:pPr>
        <w:tabs>
          <w:tab w:val="num" w:pos="2160"/>
        </w:tabs>
        <w:ind w:left="2160" w:hanging="720"/>
      </w:pPr>
    </w:lvl>
    <w:lvl w:ilvl="5">
      <w:start w:val="1"/>
      <w:numFmt w:val="upperLetter"/>
      <w:lvlText w:val="(%6)"/>
      <w:lvlJc w:val="left"/>
      <w:pPr>
        <w:tabs>
          <w:tab w:val="num" w:pos="2880"/>
        </w:tabs>
        <w:ind w:left="2880" w:hanging="720"/>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A523F91"/>
    <w:multiLevelType w:val="multilevel"/>
    <w:tmpl w:val="0A92C25C"/>
    <w:name w:val="DocXtoolsCompanion_21"/>
    <w:lvl w:ilvl="0">
      <w:start w:val="1"/>
      <w:numFmt w:val="lowerLetter"/>
      <w:lvlText w:val="%1)"/>
      <w:lvlJc w:val="left"/>
      <w:pPr>
        <w:tabs>
          <w:tab w:val="left" w:pos="360"/>
        </w:tabs>
      </w:pPr>
      <w:rPr>
        <w:rFonts w:asciiTheme="minorHAnsi" w:eastAsia="Arial" w:hAnsiTheme="minorHAnsi" w:cstheme="minorHAnsi" w:hint="default"/>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CBA0CE6"/>
    <w:multiLevelType w:val="hybridMultilevel"/>
    <w:tmpl w:val="13EEEE66"/>
    <w:name w:val="DocXtoolsCompanion_22"/>
    <w:lvl w:ilvl="0" w:tplc="4EB26306">
      <w:start w:val="1"/>
      <w:numFmt w:val="decimal"/>
      <w:lvlText w:val="%1."/>
      <w:lvlJc w:val="left"/>
      <w:pPr>
        <w:ind w:left="720" w:hanging="360"/>
      </w:pPr>
      <w:rPr>
        <w:sz w:val="22"/>
        <w:szCs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2DC10685"/>
    <w:multiLevelType w:val="hybridMultilevel"/>
    <w:tmpl w:val="2A8C8564"/>
    <w:name w:val="DocXtoolsCompanion_23"/>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DEC71CB"/>
    <w:multiLevelType w:val="hybridMultilevel"/>
    <w:tmpl w:val="88D00C6C"/>
    <w:name w:val="DocXtoolsCompanion_2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3380026A"/>
    <w:multiLevelType w:val="multilevel"/>
    <w:tmpl w:val="AB30F8BE"/>
    <w:name w:val="DocXtoolsCompanion_25"/>
    <w:lvl w:ilvl="0">
      <w:start w:val="1"/>
      <w:numFmt w:val="lowerLetter"/>
      <w:lvlText w:val="%1)"/>
      <w:lvlJc w:val="left"/>
      <w:pPr>
        <w:tabs>
          <w:tab w:val="left" w:pos="786"/>
        </w:tabs>
      </w:pPr>
      <w:rPr>
        <w:rFonts w:asciiTheme="minorHAnsi" w:eastAsia="Arial" w:hAnsiTheme="minorHAnsi" w:cstheme="minorHAnsi" w:hint="default"/>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5CD4A00"/>
    <w:multiLevelType w:val="multilevel"/>
    <w:tmpl w:val="F31C43BC"/>
    <w:name w:val="DocXtoolsCompanion_26"/>
    <w:lvl w:ilvl="0">
      <w:start w:val="1"/>
      <w:numFmt w:val="decimal"/>
      <w:lvlText w:val="%1."/>
      <w:lvlJc w:val="left"/>
      <w:pPr>
        <w:tabs>
          <w:tab w:val="left" w:pos="432"/>
        </w:tabs>
      </w:pPr>
      <w:rPr>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75867A5"/>
    <w:multiLevelType w:val="hybridMultilevel"/>
    <w:tmpl w:val="42B8E84E"/>
    <w:name w:val="DocXtoolsCompanion_27"/>
    <w:lvl w:ilvl="0" w:tplc="1CC65A0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382B16E6"/>
    <w:multiLevelType w:val="hybridMultilevel"/>
    <w:tmpl w:val="308256EE"/>
    <w:name w:val="DocXtoolsCompanion_28"/>
    <w:lvl w:ilvl="0" w:tplc="3C587B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8F24A9C"/>
    <w:multiLevelType w:val="hybridMultilevel"/>
    <w:tmpl w:val="EE722F9C"/>
    <w:name w:val="DocXtoolsCompanion_29"/>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3B94538A"/>
    <w:multiLevelType w:val="hybridMultilevel"/>
    <w:tmpl w:val="4554138A"/>
    <w:name w:val="DocXtoolsCompanion_30"/>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3BD77020"/>
    <w:multiLevelType w:val="hybridMultilevel"/>
    <w:tmpl w:val="AD866DF0"/>
    <w:name w:val="DocXtoolsCompanion_31"/>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3E806AAD"/>
    <w:multiLevelType w:val="hybridMultilevel"/>
    <w:tmpl w:val="9482CE00"/>
    <w:name w:val="DocXtoolsCompanion_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43695CA6"/>
    <w:multiLevelType w:val="hybridMultilevel"/>
    <w:tmpl w:val="4064A3DA"/>
    <w:name w:val="DocXtoolsCompanion_33"/>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44984C43"/>
    <w:multiLevelType w:val="multilevel"/>
    <w:tmpl w:val="0A92C25C"/>
    <w:name w:val="DocXtoolsCompanion_34"/>
    <w:lvl w:ilvl="0">
      <w:start w:val="1"/>
      <w:numFmt w:val="lowerLetter"/>
      <w:lvlText w:val="%1)"/>
      <w:lvlJc w:val="left"/>
      <w:pPr>
        <w:tabs>
          <w:tab w:val="left" w:pos="360"/>
        </w:tabs>
      </w:pPr>
      <w:rPr>
        <w:rFonts w:asciiTheme="minorHAnsi" w:eastAsia="Arial" w:hAnsiTheme="minorHAnsi" w:cstheme="minorHAnsi" w:hint="default"/>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4B80F85"/>
    <w:multiLevelType w:val="multilevel"/>
    <w:tmpl w:val="1A6013F2"/>
    <w:lvl w:ilvl="0">
      <w:start w:val="1"/>
      <w:numFmt w:val="decimal"/>
      <w:lvlRestart w:val="0"/>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lowerRoman"/>
      <w:lvlText w:val="%4."/>
      <w:lvlJc w:val="right"/>
      <w:pPr>
        <w:tabs>
          <w:tab w:val="num" w:pos="1440"/>
        </w:tabs>
        <w:ind w:left="1440" w:hanging="720"/>
      </w:pPr>
      <w:rPr>
        <w:b w:val="0"/>
      </w:rPr>
    </w:lvl>
    <w:lvl w:ilvl="4">
      <w:start w:val="1"/>
      <w:numFmt w:val="lowerRoman"/>
      <w:lvlText w:val="(%5)"/>
      <w:lvlJc w:val="left"/>
      <w:pPr>
        <w:tabs>
          <w:tab w:val="num" w:pos="2160"/>
        </w:tabs>
        <w:ind w:left="2160" w:hanging="720"/>
      </w:pPr>
    </w:lvl>
    <w:lvl w:ilvl="5">
      <w:start w:val="1"/>
      <w:numFmt w:val="upperLetter"/>
      <w:lvlText w:val="(%6)"/>
      <w:lvlJc w:val="left"/>
      <w:pPr>
        <w:tabs>
          <w:tab w:val="num" w:pos="2880"/>
        </w:tabs>
        <w:ind w:left="2880" w:hanging="720"/>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7F24B72"/>
    <w:multiLevelType w:val="hybridMultilevel"/>
    <w:tmpl w:val="24BE12A4"/>
    <w:name w:val="DocXtoolsCompanion_3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4CA1122F"/>
    <w:multiLevelType w:val="hybridMultilevel"/>
    <w:tmpl w:val="C8E81E48"/>
    <w:name w:val="DocXtoolsCompanion_36"/>
    <w:lvl w:ilvl="0" w:tplc="123C0DAC">
      <w:start w:val="1"/>
      <w:numFmt w:val="lowerLetter"/>
      <w:lvlText w:val="%1."/>
      <w:lvlJc w:val="left"/>
      <w:pPr>
        <w:ind w:left="504" w:hanging="360"/>
      </w:pPr>
      <w:rPr>
        <w:rFonts w:hint="default"/>
      </w:rPr>
    </w:lvl>
    <w:lvl w:ilvl="1" w:tplc="3386F388">
      <w:start w:val="1"/>
      <w:numFmt w:val="decimal"/>
      <w:lvlText w:val="%2."/>
      <w:lvlJc w:val="left"/>
      <w:pPr>
        <w:ind w:left="1224" w:hanging="360"/>
      </w:pPr>
      <w:rPr>
        <w:rFonts w:hint="default"/>
      </w:rPr>
    </w:lvl>
    <w:lvl w:ilvl="2" w:tplc="0809001B" w:tentative="1">
      <w:start w:val="1"/>
      <w:numFmt w:val="lowerRoman"/>
      <w:lvlText w:val="%3."/>
      <w:lvlJc w:val="right"/>
      <w:pPr>
        <w:ind w:left="1944" w:hanging="180"/>
      </w:pPr>
    </w:lvl>
    <w:lvl w:ilvl="3" w:tplc="0809000F" w:tentative="1">
      <w:start w:val="1"/>
      <w:numFmt w:val="decimal"/>
      <w:lvlText w:val="%4."/>
      <w:lvlJc w:val="left"/>
      <w:pPr>
        <w:ind w:left="2664" w:hanging="360"/>
      </w:pPr>
    </w:lvl>
    <w:lvl w:ilvl="4" w:tplc="08090019" w:tentative="1">
      <w:start w:val="1"/>
      <w:numFmt w:val="lowerLetter"/>
      <w:lvlText w:val="%5."/>
      <w:lvlJc w:val="left"/>
      <w:pPr>
        <w:ind w:left="3384" w:hanging="360"/>
      </w:pPr>
    </w:lvl>
    <w:lvl w:ilvl="5" w:tplc="0809001B" w:tentative="1">
      <w:start w:val="1"/>
      <w:numFmt w:val="lowerRoman"/>
      <w:lvlText w:val="%6."/>
      <w:lvlJc w:val="right"/>
      <w:pPr>
        <w:ind w:left="4104" w:hanging="180"/>
      </w:pPr>
    </w:lvl>
    <w:lvl w:ilvl="6" w:tplc="0809000F" w:tentative="1">
      <w:start w:val="1"/>
      <w:numFmt w:val="decimal"/>
      <w:lvlText w:val="%7."/>
      <w:lvlJc w:val="left"/>
      <w:pPr>
        <w:ind w:left="4824" w:hanging="360"/>
      </w:pPr>
    </w:lvl>
    <w:lvl w:ilvl="7" w:tplc="08090019" w:tentative="1">
      <w:start w:val="1"/>
      <w:numFmt w:val="lowerLetter"/>
      <w:lvlText w:val="%8."/>
      <w:lvlJc w:val="left"/>
      <w:pPr>
        <w:ind w:left="5544" w:hanging="360"/>
      </w:pPr>
    </w:lvl>
    <w:lvl w:ilvl="8" w:tplc="0809001B" w:tentative="1">
      <w:start w:val="1"/>
      <w:numFmt w:val="lowerRoman"/>
      <w:lvlText w:val="%9."/>
      <w:lvlJc w:val="right"/>
      <w:pPr>
        <w:ind w:left="6264" w:hanging="180"/>
      </w:pPr>
    </w:lvl>
  </w:abstractNum>
  <w:abstractNum w:abstractNumId="38" w15:restartNumberingAfterBreak="0">
    <w:nsid w:val="4CA3617A"/>
    <w:multiLevelType w:val="hybridMultilevel"/>
    <w:tmpl w:val="64FC8294"/>
    <w:name w:val="DocXtoolsCompanion_37"/>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D016069"/>
    <w:multiLevelType w:val="hybridMultilevel"/>
    <w:tmpl w:val="930EE87A"/>
    <w:name w:val="DocXtoolsCompanion_38"/>
    <w:lvl w:ilvl="0" w:tplc="E14CB4BE">
      <w:start w:val="1"/>
      <w:numFmt w:val="lowerRoman"/>
      <w:lvlText w:val="(%1)"/>
      <w:lvlJc w:val="left"/>
      <w:pPr>
        <w:ind w:left="1713" w:hanging="720"/>
      </w:pPr>
      <w:rPr>
        <w:rFonts w:hint="default"/>
      </w:r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0F" w:tentative="1">
      <w:start w:val="1"/>
      <w:numFmt w:val="decimal"/>
      <w:lvlText w:val="%4."/>
      <w:lvlJc w:val="left"/>
      <w:pPr>
        <w:ind w:left="3513" w:hanging="360"/>
      </w:p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abstractNum w:abstractNumId="40" w15:restartNumberingAfterBreak="0">
    <w:nsid w:val="4FD97F9F"/>
    <w:multiLevelType w:val="hybridMultilevel"/>
    <w:tmpl w:val="B61A85C0"/>
    <w:name w:val="DocXtoolsCompanion_39"/>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573027DA"/>
    <w:multiLevelType w:val="multilevel"/>
    <w:tmpl w:val="FD7E631E"/>
    <w:name w:val="DocXtoolsCompanion_40"/>
    <w:lvl w:ilvl="0">
      <w:start w:val="9"/>
      <w:numFmt w:val="lowerLetter"/>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81D09CA"/>
    <w:multiLevelType w:val="hybridMultilevel"/>
    <w:tmpl w:val="7A0A3A0C"/>
    <w:name w:val="DocXtoolsCompanion_41"/>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5BBE46AA"/>
    <w:multiLevelType w:val="hybridMultilevel"/>
    <w:tmpl w:val="3CA058D2"/>
    <w:name w:val="DocXtoolsCompanion_1822"/>
    <w:lvl w:ilvl="0" w:tplc="40090019">
      <w:start w:val="1"/>
      <w:numFmt w:val="lowerLetter"/>
      <w:lvlText w:val="%1."/>
      <w:lvlJc w:val="left"/>
      <w:pPr>
        <w:ind w:left="1713" w:hanging="360"/>
      </w:pPr>
    </w:lvl>
    <w:lvl w:ilvl="1" w:tplc="40090019">
      <w:start w:val="1"/>
      <w:numFmt w:val="lowerLetter"/>
      <w:lvlText w:val="%2."/>
      <w:lvlJc w:val="left"/>
      <w:pPr>
        <w:ind w:left="2433" w:hanging="360"/>
      </w:pPr>
    </w:lvl>
    <w:lvl w:ilvl="2" w:tplc="4009001B" w:tentative="1">
      <w:start w:val="1"/>
      <w:numFmt w:val="lowerRoman"/>
      <w:lvlText w:val="%3."/>
      <w:lvlJc w:val="right"/>
      <w:pPr>
        <w:ind w:left="3153" w:hanging="180"/>
      </w:pPr>
    </w:lvl>
    <w:lvl w:ilvl="3" w:tplc="4009000F" w:tentative="1">
      <w:start w:val="1"/>
      <w:numFmt w:val="decimal"/>
      <w:lvlText w:val="%4."/>
      <w:lvlJc w:val="left"/>
      <w:pPr>
        <w:ind w:left="3873" w:hanging="360"/>
      </w:pPr>
    </w:lvl>
    <w:lvl w:ilvl="4" w:tplc="40090019" w:tentative="1">
      <w:start w:val="1"/>
      <w:numFmt w:val="lowerLetter"/>
      <w:lvlText w:val="%5."/>
      <w:lvlJc w:val="left"/>
      <w:pPr>
        <w:ind w:left="4593" w:hanging="360"/>
      </w:pPr>
    </w:lvl>
    <w:lvl w:ilvl="5" w:tplc="4009001B" w:tentative="1">
      <w:start w:val="1"/>
      <w:numFmt w:val="lowerRoman"/>
      <w:lvlText w:val="%6."/>
      <w:lvlJc w:val="right"/>
      <w:pPr>
        <w:ind w:left="5313" w:hanging="180"/>
      </w:pPr>
    </w:lvl>
    <w:lvl w:ilvl="6" w:tplc="4009000F" w:tentative="1">
      <w:start w:val="1"/>
      <w:numFmt w:val="decimal"/>
      <w:lvlText w:val="%7."/>
      <w:lvlJc w:val="left"/>
      <w:pPr>
        <w:ind w:left="6033" w:hanging="360"/>
      </w:pPr>
    </w:lvl>
    <w:lvl w:ilvl="7" w:tplc="40090019" w:tentative="1">
      <w:start w:val="1"/>
      <w:numFmt w:val="lowerLetter"/>
      <w:lvlText w:val="%8."/>
      <w:lvlJc w:val="left"/>
      <w:pPr>
        <w:ind w:left="6753" w:hanging="360"/>
      </w:pPr>
    </w:lvl>
    <w:lvl w:ilvl="8" w:tplc="4009001B" w:tentative="1">
      <w:start w:val="1"/>
      <w:numFmt w:val="lowerRoman"/>
      <w:lvlText w:val="%9."/>
      <w:lvlJc w:val="right"/>
      <w:pPr>
        <w:ind w:left="7473" w:hanging="180"/>
      </w:pPr>
    </w:lvl>
  </w:abstractNum>
  <w:abstractNum w:abstractNumId="44" w15:restartNumberingAfterBreak="0">
    <w:nsid w:val="5D7236F0"/>
    <w:multiLevelType w:val="multilevel"/>
    <w:tmpl w:val="9D368C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6075429E"/>
    <w:multiLevelType w:val="multilevel"/>
    <w:tmpl w:val="3F9C8E40"/>
    <w:lvl w:ilvl="0">
      <w:start w:val="1"/>
      <w:numFmt w:val="decimal"/>
      <w:lvlRestart w:val="0"/>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lowerRoman"/>
      <w:lvlText w:val="%4."/>
      <w:lvlJc w:val="right"/>
      <w:pPr>
        <w:tabs>
          <w:tab w:val="num" w:pos="1440"/>
        </w:tabs>
        <w:ind w:left="1440" w:hanging="720"/>
      </w:pPr>
      <w:rPr>
        <w:b w:val="0"/>
        <w:bCs/>
      </w:rPr>
    </w:lvl>
    <w:lvl w:ilvl="4">
      <w:start w:val="1"/>
      <w:numFmt w:val="lowerRoman"/>
      <w:lvlText w:val="(%5)"/>
      <w:lvlJc w:val="left"/>
      <w:pPr>
        <w:tabs>
          <w:tab w:val="num" w:pos="2160"/>
        </w:tabs>
        <w:ind w:left="2160" w:hanging="720"/>
      </w:pPr>
    </w:lvl>
    <w:lvl w:ilvl="5">
      <w:start w:val="1"/>
      <w:numFmt w:val="upperLetter"/>
      <w:lvlText w:val="(%6)"/>
      <w:lvlJc w:val="left"/>
      <w:pPr>
        <w:tabs>
          <w:tab w:val="num" w:pos="2880"/>
        </w:tabs>
        <w:ind w:left="2880" w:hanging="720"/>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20A556F"/>
    <w:multiLevelType w:val="multilevel"/>
    <w:tmpl w:val="947830C0"/>
    <w:name w:val="DocXtoolsCompanion_43"/>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2214719"/>
    <w:multiLevelType w:val="hybridMultilevel"/>
    <w:tmpl w:val="4EA43D24"/>
    <w:name w:val="DocXtoolsCompanion_44"/>
    <w:lvl w:ilvl="0" w:tplc="0BFC0E1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2C33052"/>
    <w:multiLevelType w:val="hybridMultilevel"/>
    <w:tmpl w:val="88D00C6C"/>
    <w:name w:val="DocXtoolsCompanion_45"/>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50E22B5"/>
    <w:multiLevelType w:val="hybridMultilevel"/>
    <w:tmpl w:val="C1AA3F16"/>
    <w:name w:val="DocXtoolsCompanion_46"/>
    <w:lvl w:ilvl="0" w:tplc="9D96F8C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0" w15:restartNumberingAfterBreak="0">
    <w:nsid w:val="68526339"/>
    <w:multiLevelType w:val="multilevel"/>
    <w:tmpl w:val="0A92C25C"/>
    <w:name w:val="DocXtoolsCompanion_47"/>
    <w:lvl w:ilvl="0">
      <w:start w:val="1"/>
      <w:numFmt w:val="lowerLetter"/>
      <w:lvlText w:val="%1)"/>
      <w:lvlJc w:val="left"/>
      <w:pPr>
        <w:tabs>
          <w:tab w:val="left" w:pos="360"/>
        </w:tabs>
      </w:pPr>
      <w:rPr>
        <w:rFonts w:asciiTheme="minorHAnsi" w:eastAsia="Arial" w:hAnsiTheme="minorHAnsi" w:cstheme="minorHAnsi" w:hint="default"/>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E9E6BB4"/>
    <w:multiLevelType w:val="hybridMultilevel"/>
    <w:tmpl w:val="5E5C7A06"/>
    <w:name w:val="DocXtoolsCompanion_4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2" w15:restartNumberingAfterBreak="0">
    <w:nsid w:val="6EDF1E1B"/>
    <w:multiLevelType w:val="hybridMultilevel"/>
    <w:tmpl w:val="4CFA6870"/>
    <w:name w:val="DocXtoolsCompanion_49"/>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FF97366"/>
    <w:multiLevelType w:val="multilevel"/>
    <w:tmpl w:val="0A92C25C"/>
    <w:name w:val="DocXtoolsCompanion_50"/>
    <w:lvl w:ilvl="0">
      <w:start w:val="1"/>
      <w:numFmt w:val="lowerLetter"/>
      <w:lvlText w:val="%1)"/>
      <w:lvlJc w:val="left"/>
      <w:pPr>
        <w:tabs>
          <w:tab w:val="left" w:pos="360"/>
        </w:tabs>
      </w:pPr>
      <w:rPr>
        <w:rFonts w:asciiTheme="minorHAnsi" w:eastAsia="Arial" w:hAnsiTheme="minorHAnsi" w:cstheme="minorHAnsi" w:hint="default"/>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2C54941"/>
    <w:multiLevelType w:val="hybridMultilevel"/>
    <w:tmpl w:val="13EEEE66"/>
    <w:name w:val="DocXtoolsCompanion_51"/>
    <w:lvl w:ilvl="0" w:tplc="FFFFFFFF">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4302C1E"/>
    <w:multiLevelType w:val="hybridMultilevel"/>
    <w:tmpl w:val="4086E0F0"/>
    <w:name w:val="DocXtoolsCompanion_52"/>
    <w:lvl w:ilvl="0" w:tplc="FFFFFFFF">
      <w:start w:val="1"/>
      <w:numFmt w:val="lowerRoman"/>
      <w:lvlText w:val="%1."/>
      <w:lvlJc w:val="right"/>
      <w:pPr>
        <w:ind w:left="720" w:hanging="360"/>
      </w:pPr>
    </w:lvl>
    <w:lvl w:ilvl="1" w:tplc="FF62F3B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4D430A8"/>
    <w:multiLevelType w:val="multilevel"/>
    <w:tmpl w:val="B9E05056"/>
    <w:name w:val="DocXtoolsCompanion_53"/>
    <w:lvl w:ilvl="0">
      <w:start w:val="5"/>
      <w:numFmt w:val="decimal"/>
      <w:lvlText w:val="%1."/>
      <w:lvlJc w:val="left"/>
      <w:pPr>
        <w:ind w:left="360" w:hanging="360"/>
      </w:pPr>
    </w:lvl>
    <w:lvl w:ilvl="1">
      <w:start w:val="1"/>
      <w:numFmt w:val="decimal"/>
      <w:lvlText w:val="%1.%2."/>
      <w:lvlJc w:val="left"/>
      <w:pPr>
        <w:ind w:left="1146" w:hanging="360"/>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57" w15:restartNumberingAfterBreak="0">
    <w:nsid w:val="75CB497D"/>
    <w:multiLevelType w:val="multilevel"/>
    <w:tmpl w:val="0A92C25C"/>
    <w:name w:val="DocXtoolsCompanion_54"/>
    <w:lvl w:ilvl="0">
      <w:start w:val="1"/>
      <w:numFmt w:val="lowerLetter"/>
      <w:lvlText w:val="%1)"/>
      <w:lvlJc w:val="left"/>
      <w:pPr>
        <w:tabs>
          <w:tab w:val="left" w:pos="360"/>
        </w:tabs>
      </w:pPr>
      <w:rPr>
        <w:rFonts w:asciiTheme="minorHAnsi" w:eastAsia="Arial" w:hAnsiTheme="minorHAnsi" w:cstheme="minorHAnsi" w:hint="default"/>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6B14029"/>
    <w:multiLevelType w:val="hybridMultilevel"/>
    <w:tmpl w:val="F028C49E"/>
    <w:lvl w:ilvl="0" w:tplc="78909DCA">
      <w:start w:val="1"/>
      <w:numFmt w:val="lowerRoman"/>
      <w:lvlText w:val="(%1)"/>
      <w:lvlJc w:val="left"/>
      <w:pPr>
        <w:ind w:left="2851" w:hanging="720"/>
      </w:pPr>
      <w:rPr>
        <w:rFonts w:hint="default"/>
      </w:rPr>
    </w:lvl>
    <w:lvl w:ilvl="1" w:tplc="40090019" w:tentative="1">
      <w:start w:val="1"/>
      <w:numFmt w:val="lowerLetter"/>
      <w:lvlText w:val="%2."/>
      <w:lvlJc w:val="left"/>
      <w:pPr>
        <w:ind w:left="3211" w:hanging="360"/>
      </w:pPr>
    </w:lvl>
    <w:lvl w:ilvl="2" w:tplc="4009001B" w:tentative="1">
      <w:start w:val="1"/>
      <w:numFmt w:val="lowerRoman"/>
      <w:lvlText w:val="%3."/>
      <w:lvlJc w:val="right"/>
      <w:pPr>
        <w:ind w:left="3931" w:hanging="180"/>
      </w:pPr>
    </w:lvl>
    <w:lvl w:ilvl="3" w:tplc="4009000F" w:tentative="1">
      <w:start w:val="1"/>
      <w:numFmt w:val="decimal"/>
      <w:lvlText w:val="%4."/>
      <w:lvlJc w:val="left"/>
      <w:pPr>
        <w:ind w:left="4651" w:hanging="360"/>
      </w:pPr>
    </w:lvl>
    <w:lvl w:ilvl="4" w:tplc="40090019" w:tentative="1">
      <w:start w:val="1"/>
      <w:numFmt w:val="lowerLetter"/>
      <w:lvlText w:val="%5."/>
      <w:lvlJc w:val="left"/>
      <w:pPr>
        <w:ind w:left="5371" w:hanging="360"/>
      </w:pPr>
    </w:lvl>
    <w:lvl w:ilvl="5" w:tplc="4009001B" w:tentative="1">
      <w:start w:val="1"/>
      <w:numFmt w:val="lowerRoman"/>
      <w:lvlText w:val="%6."/>
      <w:lvlJc w:val="right"/>
      <w:pPr>
        <w:ind w:left="6091" w:hanging="180"/>
      </w:pPr>
    </w:lvl>
    <w:lvl w:ilvl="6" w:tplc="4009000F" w:tentative="1">
      <w:start w:val="1"/>
      <w:numFmt w:val="decimal"/>
      <w:lvlText w:val="%7."/>
      <w:lvlJc w:val="left"/>
      <w:pPr>
        <w:ind w:left="6811" w:hanging="360"/>
      </w:pPr>
    </w:lvl>
    <w:lvl w:ilvl="7" w:tplc="40090019" w:tentative="1">
      <w:start w:val="1"/>
      <w:numFmt w:val="lowerLetter"/>
      <w:lvlText w:val="%8."/>
      <w:lvlJc w:val="left"/>
      <w:pPr>
        <w:ind w:left="7531" w:hanging="360"/>
      </w:pPr>
    </w:lvl>
    <w:lvl w:ilvl="8" w:tplc="4009001B" w:tentative="1">
      <w:start w:val="1"/>
      <w:numFmt w:val="lowerRoman"/>
      <w:lvlText w:val="%9."/>
      <w:lvlJc w:val="right"/>
      <w:pPr>
        <w:ind w:left="8251" w:hanging="180"/>
      </w:pPr>
    </w:lvl>
  </w:abstractNum>
  <w:abstractNum w:abstractNumId="59" w15:restartNumberingAfterBreak="0">
    <w:nsid w:val="76C37B8D"/>
    <w:multiLevelType w:val="hybridMultilevel"/>
    <w:tmpl w:val="64FC8294"/>
    <w:name w:val="DocXtoolsCompanion_13"/>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0" w15:restartNumberingAfterBreak="0">
    <w:nsid w:val="782D1C44"/>
    <w:multiLevelType w:val="multilevel"/>
    <w:tmpl w:val="7E760064"/>
    <w:name w:val="DocXtoolsCompanion_56"/>
    <w:lvl w:ilvl="0">
      <w:start w:val="1"/>
      <w:numFmt w:val="decimal"/>
      <w:pStyle w:val="Decimaloutlinedc1"/>
      <w:lvlText w:val="%1."/>
      <w:lvlJc w:val="left"/>
      <w:pPr>
        <w:ind w:left="432" w:hanging="432"/>
      </w:pPr>
      <w:rPr>
        <w:rFonts w:ascii="Times New Roman" w:hAnsi="Times New Roman" w:cs="Times New Roman" w:hint="default"/>
        <w:sz w:val="22"/>
      </w:rPr>
    </w:lvl>
    <w:lvl w:ilvl="1">
      <w:start w:val="1"/>
      <w:numFmt w:val="decimal"/>
      <w:pStyle w:val="Decimaloutlinedc2"/>
      <w:isLgl/>
      <w:lvlText w:val="%1.%2."/>
      <w:lvlJc w:val="left"/>
      <w:pPr>
        <w:ind w:left="994" w:hanging="562"/>
      </w:pPr>
      <w:rPr>
        <w:rFonts w:ascii="Times New Roman" w:hAnsi="Times New Roman" w:cs="Times New Roman" w:hint="default"/>
        <w:b/>
        <w:bCs w:val="0"/>
        <w:sz w:val="22"/>
      </w:rPr>
    </w:lvl>
    <w:lvl w:ilvl="2">
      <w:start w:val="1"/>
      <w:numFmt w:val="decimal"/>
      <w:pStyle w:val="Decimaloutlinedc3"/>
      <w:isLgl/>
      <w:lvlText w:val="%1.%2.%3."/>
      <w:lvlJc w:val="left"/>
      <w:pPr>
        <w:ind w:left="1699" w:hanging="705"/>
      </w:pPr>
      <w:rPr>
        <w:rFonts w:ascii="Times New Roman" w:hAnsi="Times New Roman" w:cs="Times New Roman" w:hint="default"/>
        <w:b/>
        <w:sz w:val="22"/>
      </w:rPr>
    </w:lvl>
    <w:lvl w:ilvl="3">
      <w:start w:val="1"/>
      <w:numFmt w:val="lowerRoman"/>
      <w:pStyle w:val="Decimaloutlinedc4"/>
      <w:lvlText w:val="%4."/>
      <w:lvlJc w:val="left"/>
      <w:pPr>
        <w:ind w:left="1282" w:hanging="360"/>
      </w:pPr>
      <w:rPr>
        <w:rFonts w:ascii="Times New Roman" w:hAnsi="Times New Roman" w:cs="Times New Roman" w:hint="default"/>
        <w:b w:val="0"/>
        <w:bCs/>
        <w:sz w:val="24"/>
        <w:szCs w:val="24"/>
      </w:rPr>
    </w:lvl>
    <w:lvl w:ilvl="4">
      <w:start w:val="1"/>
      <w:numFmt w:val="lowerLetter"/>
      <w:pStyle w:val="Decimaloutlinedc5"/>
      <w:lvlText w:val="%5."/>
      <w:lvlJc w:val="left"/>
      <w:pPr>
        <w:ind w:left="2131" w:hanging="360"/>
      </w:pPr>
      <w:rPr>
        <w:rFonts w:ascii="Times New Roman" w:hAnsi="Times New Roman" w:cs="Times New Roman" w:hint="default"/>
        <w:b w:val="0"/>
        <w:bCs/>
        <w:sz w:val="24"/>
        <w:szCs w:val="24"/>
      </w:rPr>
    </w:lvl>
    <w:lvl w:ilvl="5">
      <w:start w:val="1"/>
      <w:numFmt w:val="decimal"/>
      <w:isLgl/>
      <w:lvlText w:val="%1.%2.%3.%4.%5.%6."/>
      <w:lvlJc w:val="left"/>
      <w:pPr>
        <w:ind w:left="1765" w:hanging="1080"/>
      </w:pPr>
      <w:rPr>
        <w:rFonts w:hint="default"/>
        <w:b/>
      </w:rPr>
    </w:lvl>
    <w:lvl w:ilvl="6">
      <w:start w:val="1"/>
      <w:numFmt w:val="decimal"/>
      <w:isLgl/>
      <w:lvlText w:val="%1.%2.%3.%4.%5.%6.%7."/>
      <w:lvlJc w:val="left"/>
      <w:pPr>
        <w:ind w:left="2190" w:hanging="1440"/>
      </w:pPr>
      <w:rPr>
        <w:rFonts w:hint="default"/>
        <w:b/>
      </w:rPr>
    </w:lvl>
    <w:lvl w:ilvl="7">
      <w:start w:val="1"/>
      <w:numFmt w:val="decimal"/>
      <w:isLgl/>
      <w:lvlText w:val="%1.%2.%3.%4.%5.%6.%7.%8."/>
      <w:lvlJc w:val="left"/>
      <w:pPr>
        <w:ind w:left="2255" w:hanging="1440"/>
      </w:pPr>
      <w:rPr>
        <w:rFonts w:hint="default"/>
        <w:b/>
      </w:rPr>
    </w:lvl>
    <w:lvl w:ilvl="8">
      <w:start w:val="1"/>
      <w:numFmt w:val="decimal"/>
      <w:isLgl/>
      <w:lvlText w:val="%1.%2.%3.%4.%5.%6.%7.%8.%9."/>
      <w:lvlJc w:val="left"/>
      <w:pPr>
        <w:ind w:left="2680" w:hanging="1800"/>
      </w:pPr>
      <w:rPr>
        <w:rFonts w:hint="default"/>
        <w:b/>
      </w:rPr>
    </w:lvl>
  </w:abstractNum>
  <w:abstractNum w:abstractNumId="61" w15:restartNumberingAfterBreak="0">
    <w:nsid w:val="793F4A9D"/>
    <w:multiLevelType w:val="hybridMultilevel"/>
    <w:tmpl w:val="78E42568"/>
    <w:name w:val="DocXtoolsCompanion_132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2" w15:restartNumberingAfterBreak="0">
    <w:nsid w:val="7C5518A1"/>
    <w:multiLevelType w:val="hybridMultilevel"/>
    <w:tmpl w:val="E7540A0A"/>
    <w:name w:val="DocXtoolsCompanion_58"/>
    <w:lvl w:ilvl="0" w:tplc="08090019">
      <w:start w:val="1"/>
      <w:numFmt w:val="lowerLetter"/>
      <w:lvlText w:val="%1."/>
      <w:lvlJc w:val="left"/>
      <w:pPr>
        <w:ind w:left="567" w:hanging="360"/>
      </w:pPr>
      <w:rPr>
        <w:rFonts w:hint="default"/>
      </w:rPr>
    </w:lvl>
    <w:lvl w:ilvl="1" w:tplc="08090019" w:tentative="1">
      <w:start w:val="1"/>
      <w:numFmt w:val="lowerLetter"/>
      <w:lvlText w:val="%2."/>
      <w:lvlJc w:val="left"/>
      <w:pPr>
        <w:ind w:left="1287" w:hanging="360"/>
      </w:pPr>
    </w:lvl>
    <w:lvl w:ilvl="2" w:tplc="0809001B" w:tentative="1">
      <w:start w:val="1"/>
      <w:numFmt w:val="lowerRoman"/>
      <w:lvlText w:val="%3."/>
      <w:lvlJc w:val="right"/>
      <w:pPr>
        <w:ind w:left="2007" w:hanging="180"/>
      </w:pPr>
    </w:lvl>
    <w:lvl w:ilvl="3" w:tplc="0809000F" w:tentative="1">
      <w:start w:val="1"/>
      <w:numFmt w:val="decimal"/>
      <w:lvlText w:val="%4."/>
      <w:lvlJc w:val="left"/>
      <w:pPr>
        <w:ind w:left="2727" w:hanging="360"/>
      </w:pPr>
    </w:lvl>
    <w:lvl w:ilvl="4" w:tplc="08090019" w:tentative="1">
      <w:start w:val="1"/>
      <w:numFmt w:val="lowerLetter"/>
      <w:lvlText w:val="%5."/>
      <w:lvlJc w:val="left"/>
      <w:pPr>
        <w:ind w:left="3447" w:hanging="360"/>
      </w:pPr>
    </w:lvl>
    <w:lvl w:ilvl="5" w:tplc="0809001B" w:tentative="1">
      <w:start w:val="1"/>
      <w:numFmt w:val="lowerRoman"/>
      <w:lvlText w:val="%6."/>
      <w:lvlJc w:val="right"/>
      <w:pPr>
        <w:ind w:left="4167" w:hanging="180"/>
      </w:pPr>
    </w:lvl>
    <w:lvl w:ilvl="6" w:tplc="0809000F" w:tentative="1">
      <w:start w:val="1"/>
      <w:numFmt w:val="decimal"/>
      <w:lvlText w:val="%7."/>
      <w:lvlJc w:val="left"/>
      <w:pPr>
        <w:ind w:left="4887" w:hanging="360"/>
      </w:pPr>
    </w:lvl>
    <w:lvl w:ilvl="7" w:tplc="08090019" w:tentative="1">
      <w:start w:val="1"/>
      <w:numFmt w:val="lowerLetter"/>
      <w:lvlText w:val="%8."/>
      <w:lvlJc w:val="left"/>
      <w:pPr>
        <w:ind w:left="5607" w:hanging="360"/>
      </w:pPr>
    </w:lvl>
    <w:lvl w:ilvl="8" w:tplc="0809001B" w:tentative="1">
      <w:start w:val="1"/>
      <w:numFmt w:val="lowerRoman"/>
      <w:lvlText w:val="%9."/>
      <w:lvlJc w:val="right"/>
      <w:pPr>
        <w:ind w:left="6327" w:hanging="180"/>
      </w:pPr>
    </w:lvl>
  </w:abstractNum>
  <w:abstractNum w:abstractNumId="63" w15:restartNumberingAfterBreak="0">
    <w:nsid w:val="7DB569EA"/>
    <w:multiLevelType w:val="hybridMultilevel"/>
    <w:tmpl w:val="26F604D2"/>
    <w:name w:val="DocXtoolsCompanion_59"/>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3311007">
    <w:abstractNumId w:val="10"/>
  </w:num>
  <w:num w:numId="2" w16cid:durableId="1886600760">
    <w:abstractNumId w:val="21"/>
  </w:num>
  <w:num w:numId="3" w16cid:durableId="1831747090">
    <w:abstractNumId w:val="41"/>
  </w:num>
  <w:num w:numId="4" w16cid:durableId="959801702">
    <w:abstractNumId w:val="2"/>
  </w:num>
  <w:num w:numId="5" w16cid:durableId="2121608093">
    <w:abstractNumId w:val="46"/>
  </w:num>
  <w:num w:numId="6" w16cid:durableId="536360738">
    <w:abstractNumId w:val="18"/>
  </w:num>
  <w:num w:numId="7" w16cid:durableId="175005197">
    <w:abstractNumId w:val="40"/>
  </w:num>
  <w:num w:numId="8" w16cid:durableId="869227040">
    <w:abstractNumId w:val="33"/>
  </w:num>
  <w:num w:numId="9" w16cid:durableId="285819659">
    <w:abstractNumId w:val="5"/>
  </w:num>
  <w:num w:numId="10" w16cid:durableId="1326667086">
    <w:abstractNumId w:val="13"/>
  </w:num>
  <w:num w:numId="11" w16cid:durableId="1918439949">
    <w:abstractNumId w:val="63"/>
  </w:num>
  <w:num w:numId="12" w16cid:durableId="1475216749">
    <w:abstractNumId w:val="7"/>
  </w:num>
  <w:num w:numId="13" w16cid:durableId="631131361">
    <w:abstractNumId w:val="24"/>
  </w:num>
  <w:num w:numId="14" w16cid:durableId="1946571793">
    <w:abstractNumId w:val="48"/>
  </w:num>
  <w:num w:numId="15" w16cid:durableId="2137675881">
    <w:abstractNumId w:val="31"/>
  </w:num>
  <w:num w:numId="16" w16cid:durableId="158890726">
    <w:abstractNumId w:val="30"/>
  </w:num>
  <w:num w:numId="17" w16cid:durableId="1783645545">
    <w:abstractNumId w:val="42"/>
  </w:num>
  <w:num w:numId="18" w16cid:durableId="483622841">
    <w:abstractNumId w:val="22"/>
  </w:num>
  <w:num w:numId="19" w16cid:durableId="781461143">
    <w:abstractNumId w:val="51"/>
  </w:num>
  <w:num w:numId="20" w16cid:durableId="1327707862">
    <w:abstractNumId w:val="25"/>
  </w:num>
  <w:num w:numId="21" w16cid:durableId="2104497834">
    <w:abstractNumId w:val="6"/>
  </w:num>
  <w:num w:numId="22" w16cid:durableId="508182235">
    <w:abstractNumId w:val="16"/>
  </w:num>
  <w:num w:numId="23" w16cid:durableId="1807508657">
    <w:abstractNumId w:val="34"/>
  </w:num>
  <w:num w:numId="24" w16cid:durableId="1179276633">
    <w:abstractNumId w:val="12"/>
  </w:num>
  <w:num w:numId="25" w16cid:durableId="53937061">
    <w:abstractNumId w:val="57"/>
  </w:num>
  <w:num w:numId="26" w16cid:durableId="1499882299">
    <w:abstractNumId w:val="0"/>
  </w:num>
  <w:num w:numId="27" w16cid:durableId="832262709">
    <w:abstractNumId w:val="26"/>
  </w:num>
  <w:num w:numId="28" w16cid:durableId="1591350724">
    <w:abstractNumId w:val="50"/>
  </w:num>
  <w:num w:numId="29" w16cid:durableId="1760364531">
    <w:abstractNumId w:val="53"/>
  </w:num>
  <w:num w:numId="30" w16cid:durableId="14235789">
    <w:abstractNumId w:val="4"/>
  </w:num>
  <w:num w:numId="31" w16cid:durableId="415591138">
    <w:abstractNumId w:val="17"/>
  </w:num>
  <w:num w:numId="32" w16cid:durableId="1982420133">
    <w:abstractNumId w:val="54"/>
  </w:num>
  <w:num w:numId="33" w16cid:durableId="1912109581">
    <w:abstractNumId w:val="3"/>
  </w:num>
  <w:num w:numId="34" w16cid:durableId="1696998752">
    <w:abstractNumId w:val="37"/>
  </w:num>
  <w:num w:numId="35" w16cid:durableId="252324789">
    <w:abstractNumId w:val="62"/>
  </w:num>
  <w:num w:numId="36" w16cid:durableId="1548180804">
    <w:abstractNumId w:val="14"/>
  </w:num>
  <w:num w:numId="37" w16cid:durableId="142942310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830094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350192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0171759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40754750">
    <w:abstractNumId w:val="52"/>
  </w:num>
  <w:num w:numId="42" w16cid:durableId="1310671626">
    <w:abstractNumId w:val="23"/>
  </w:num>
  <w:num w:numId="43" w16cid:durableId="81221037">
    <w:abstractNumId w:val="47"/>
  </w:num>
  <w:num w:numId="44" w16cid:durableId="1474176222">
    <w:abstractNumId w:val="28"/>
  </w:num>
  <w:num w:numId="45" w16cid:durableId="10459873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86201328">
    <w:abstractNumId w:val="5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91084679">
    <w:abstractNumId w:val="59"/>
  </w:num>
  <w:num w:numId="48" w16cid:durableId="702900894">
    <w:abstractNumId w:val="27"/>
  </w:num>
  <w:num w:numId="49" w16cid:durableId="1975989949">
    <w:abstractNumId w:val="1"/>
  </w:num>
  <w:num w:numId="50" w16cid:durableId="612830472">
    <w:abstractNumId w:val="15"/>
  </w:num>
  <w:num w:numId="51" w16cid:durableId="830028643">
    <w:abstractNumId w:val="61"/>
  </w:num>
  <w:num w:numId="52" w16cid:durableId="370954727">
    <w:abstractNumId w:val="49"/>
  </w:num>
  <w:num w:numId="53" w16cid:durableId="1332296438">
    <w:abstractNumId w:val="60"/>
  </w:num>
  <w:num w:numId="54" w16cid:durableId="1468013227">
    <w:abstractNumId w:val="38"/>
  </w:num>
  <w:num w:numId="55" w16cid:durableId="1206722726">
    <w:abstractNumId w:val="55"/>
  </w:num>
  <w:num w:numId="56" w16cid:durableId="1189609518">
    <w:abstractNumId w:val="8"/>
  </w:num>
  <w:num w:numId="57" w16cid:durableId="53549935">
    <w:abstractNumId w:val="11"/>
  </w:num>
  <w:num w:numId="58" w16cid:durableId="140342672">
    <w:abstractNumId w:val="39"/>
  </w:num>
  <w:num w:numId="59" w16cid:durableId="1427380294">
    <w:abstractNumId w:val="43"/>
  </w:num>
  <w:num w:numId="60" w16cid:durableId="348677811">
    <w:abstractNumId w:val="19"/>
  </w:num>
  <w:num w:numId="61" w16cid:durableId="581375048">
    <w:abstractNumId w:val="44"/>
  </w:num>
  <w:num w:numId="62" w16cid:durableId="1430585364">
    <w:abstractNumId w:val="20"/>
  </w:num>
  <w:num w:numId="63" w16cid:durableId="113390470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15291926">
    <w:abstractNumId w:val="60"/>
  </w:num>
  <w:num w:numId="65" w16cid:durableId="316300363">
    <w:abstractNumId w:val="45"/>
  </w:num>
  <w:num w:numId="66" w16cid:durableId="155519073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243952181">
    <w:abstractNumId w:val="35"/>
  </w:num>
  <w:num w:numId="68" w16cid:durableId="970402176">
    <w:abstractNumId w:val="5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7B5"/>
    <w:rsid w:val="00000806"/>
    <w:rsid w:val="00003501"/>
    <w:rsid w:val="00005AAC"/>
    <w:rsid w:val="00010AE2"/>
    <w:rsid w:val="00011BED"/>
    <w:rsid w:val="00012DAF"/>
    <w:rsid w:val="00017B63"/>
    <w:rsid w:val="00025073"/>
    <w:rsid w:val="00030E8A"/>
    <w:rsid w:val="0003561E"/>
    <w:rsid w:val="00035F5D"/>
    <w:rsid w:val="00040453"/>
    <w:rsid w:val="00043173"/>
    <w:rsid w:val="000456EB"/>
    <w:rsid w:val="00056394"/>
    <w:rsid w:val="000574A9"/>
    <w:rsid w:val="00066F68"/>
    <w:rsid w:val="00072CAC"/>
    <w:rsid w:val="00077FB4"/>
    <w:rsid w:val="0009012B"/>
    <w:rsid w:val="000929A9"/>
    <w:rsid w:val="000939A6"/>
    <w:rsid w:val="00093DDF"/>
    <w:rsid w:val="0009608A"/>
    <w:rsid w:val="00097911"/>
    <w:rsid w:val="000A1C13"/>
    <w:rsid w:val="000A20C7"/>
    <w:rsid w:val="000B63D2"/>
    <w:rsid w:val="000B6BDF"/>
    <w:rsid w:val="000C3280"/>
    <w:rsid w:val="000C394F"/>
    <w:rsid w:val="000C6AD0"/>
    <w:rsid w:val="000D13A2"/>
    <w:rsid w:val="000D430C"/>
    <w:rsid w:val="000D746E"/>
    <w:rsid w:val="000E38EE"/>
    <w:rsid w:val="000E6A48"/>
    <w:rsid w:val="000E718F"/>
    <w:rsid w:val="000F21D1"/>
    <w:rsid w:val="000F4220"/>
    <w:rsid w:val="000F5D30"/>
    <w:rsid w:val="0010343F"/>
    <w:rsid w:val="00104CDC"/>
    <w:rsid w:val="00105253"/>
    <w:rsid w:val="00112B41"/>
    <w:rsid w:val="001327DA"/>
    <w:rsid w:val="00137C65"/>
    <w:rsid w:val="00137CEC"/>
    <w:rsid w:val="0014257C"/>
    <w:rsid w:val="001571CB"/>
    <w:rsid w:val="001661A6"/>
    <w:rsid w:val="0016EB2B"/>
    <w:rsid w:val="001738E1"/>
    <w:rsid w:val="00173EA1"/>
    <w:rsid w:val="00175BDF"/>
    <w:rsid w:val="001802A9"/>
    <w:rsid w:val="00185B23"/>
    <w:rsid w:val="00192ACC"/>
    <w:rsid w:val="001938A2"/>
    <w:rsid w:val="001A3294"/>
    <w:rsid w:val="001A70BD"/>
    <w:rsid w:val="001B3402"/>
    <w:rsid w:val="001B60CA"/>
    <w:rsid w:val="001C22DA"/>
    <w:rsid w:val="001C3A42"/>
    <w:rsid w:val="001D2B90"/>
    <w:rsid w:val="001D4D4F"/>
    <w:rsid w:val="001D635B"/>
    <w:rsid w:val="001E6709"/>
    <w:rsid w:val="001E6F51"/>
    <w:rsid w:val="001F6FD0"/>
    <w:rsid w:val="002035DC"/>
    <w:rsid w:val="00204CC6"/>
    <w:rsid w:val="00206D3D"/>
    <w:rsid w:val="00207E85"/>
    <w:rsid w:val="00210B47"/>
    <w:rsid w:val="00212E3A"/>
    <w:rsid w:val="002155BE"/>
    <w:rsid w:val="00215E0B"/>
    <w:rsid w:val="002204ED"/>
    <w:rsid w:val="00222FEE"/>
    <w:rsid w:val="00223424"/>
    <w:rsid w:val="002234CD"/>
    <w:rsid w:val="00235888"/>
    <w:rsid w:val="00246F91"/>
    <w:rsid w:val="00252221"/>
    <w:rsid w:val="00254B03"/>
    <w:rsid w:val="00261AA5"/>
    <w:rsid w:val="00270D43"/>
    <w:rsid w:val="00270FCF"/>
    <w:rsid w:val="00275C79"/>
    <w:rsid w:val="0027658F"/>
    <w:rsid w:val="002805D6"/>
    <w:rsid w:val="0028104F"/>
    <w:rsid w:val="002910C1"/>
    <w:rsid w:val="0029670F"/>
    <w:rsid w:val="002A18E6"/>
    <w:rsid w:val="002A4B69"/>
    <w:rsid w:val="002A4D3F"/>
    <w:rsid w:val="002A7020"/>
    <w:rsid w:val="002B5734"/>
    <w:rsid w:val="002C0CBA"/>
    <w:rsid w:val="002C1CCE"/>
    <w:rsid w:val="002C45F5"/>
    <w:rsid w:val="002C499C"/>
    <w:rsid w:val="002C5C27"/>
    <w:rsid w:val="002C7CCD"/>
    <w:rsid w:val="002D0F8C"/>
    <w:rsid w:val="002D5B6E"/>
    <w:rsid w:val="002D739F"/>
    <w:rsid w:val="002E20AD"/>
    <w:rsid w:val="002E6D5F"/>
    <w:rsid w:val="002E75E7"/>
    <w:rsid w:val="002E7A04"/>
    <w:rsid w:val="002F4AE7"/>
    <w:rsid w:val="00302BEA"/>
    <w:rsid w:val="0030418B"/>
    <w:rsid w:val="00311AF5"/>
    <w:rsid w:val="00316764"/>
    <w:rsid w:val="003215A6"/>
    <w:rsid w:val="00322819"/>
    <w:rsid w:val="003235F2"/>
    <w:rsid w:val="0032574E"/>
    <w:rsid w:val="003259DE"/>
    <w:rsid w:val="00331C89"/>
    <w:rsid w:val="00344228"/>
    <w:rsid w:val="00344AB1"/>
    <w:rsid w:val="00346B15"/>
    <w:rsid w:val="00360425"/>
    <w:rsid w:val="003620A1"/>
    <w:rsid w:val="003729C0"/>
    <w:rsid w:val="00375D98"/>
    <w:rsid w:val="00382A04"/>
    <w:rsid w:val="0038396B"/>
    <w:rsid w:val="003922D5"/>
    <w:rsid w:val="00395BC3"/>
    <w:rsid w:val="003A582A"/>
    <w:rsid w:val="003A6DC3"/>
    <w:rsid w:val="003C0447"/>
    <w:rsid w:val="003C143D"/>
    <w:rsid w:val="003C38C3"/>
    <w:rsid w:val="003C47F8"/>
    <w:rsid w:val="003C64C1"/>
    <w:rsid w:val="003C67C6"/>
    <w:rsid w:val="003E0B53"/>
    <w:rsid w:val="003E3AC4"/>
    <w:rsid w:val="003E7F34"/>
    <w:rsid w:val="003F0B91"/>
    <w:rsid w:val="003F1083"/>
    <w:rsid w:val="003F2F8E"/>
    <w:rsid w:val="003F4644"/>
    <w:rsid w:val="003F49D4"/>
    <w:rsid w:val="00401DA2"/>
    <w:rsid w:val="004046CF"/>
    <w:rsid w:val="0040760A"/>
    <w:rsid w:val="004138E5"/>
    <w:rsid w:val="00416B2F"/>
    <w:rsid w:val="00420FDB"/>
    <w:rsid w:val="00432756"/>
    <w:rsid w:val="00436C99"/>
    <w:rsid w:val="00452B88"/>
    <w:rsid w:val="00457314"/>
    <w:rsid w:val="00460206"/>
    <w:rsid w:val="00463F92"/>
    <w:rsid w:val="00464D91"/>
    <w:rsid w:val="00475B6F"/>
    <w:rsid w:val="00476DEB"/>
    <w:rsid w:val="00481B89"/>
    <w:rsid w:val="00484307"/>
    <w:rsid w:val="00485313"/>
    <w:rsid w:val="004977EF"/>
    <w:rsid w:val="004A0342"/>
    <w:rsid w:val="004A0392"/>
    <w:rsid w:val="004A7AD3"/>
    <w:rsid w:val="004B08C6"/>
    <w:rsid w:val="004B56C0"/>
    <w:rsid w:val="004B70BE"/>
    <w:rsid w:val="004B75E3"/>
    <w:rsid w:val="004D1CDC"/>
    <w:rsid w:val="004D1DE1"/>
    <w:rsid w:val="004D30CD"/>
    <w:rsid w:val="004E10A2"/>
    <w:rsid w:val="004E1302"/>
    <w:rsid w:val="004F6C4A"/>
    <w:rsid w:val="004F7CBE"/>
    <w:rsid w:val="0050072A"/>
    <w:rsid w:val="0050286B"/>
    <w:rsid w:val="00506DFA"/>
    <w:rsid w:val="00510D73"/>
    <w:rsid w:val="005144A4"/>
    <w:rsid w:val="00514E52"/>
    <w:rsid w:val="005161F9"/>
    <w:rsid w:val="005172DC"/>
    <w:rsid w:val="00517A18"/>
    <w:rsid w:val="00522170"/>
    <w:rsid w:val="0052295E"/>
    <w:rsid w:val="0053028C"/>
    <w:rsid w:val="00540764"/>
    <w:rsid w:val="00541CED"/>
    <w:rsid w:val="00543CB3"/>
    <w:rsid w:val="005466BF"/>
    <w:rsid w:val="005639A3"/>
    <w:rsid w:val="005718F2"/>
    <w:rsid w:val="00580639"/>
    <w:rsid w:val="00584AA9"/>
    <w:rsid w:val="0059112F"/>
    <w:rsid w:val="005949DE"/>
    <w:rsid w:val="005977D9"/>
    <w:rsid w:val="005A1D82"/>
    <w:rsid w:val="005A5744"/>
    <w:rsid w:val="005C1845"/>
    <w:rsid w:val="005C20C1"/>
    <w:rsid w:val="005C28B6"/>
    <w:rsid w:val="005C5117"/>
    <w:rsid w:val="005C72CA"/>
    <w:rsid w:val="005D0F40"/>
    <w:rsid w:val="005D5882"/>
    <w:rsid w:val="005D601D"/>
    <w:rsid w:val="005E33CB"/>
    <w:rsid w:val="005E3DD1"/>
    <w:rsid w:val="005E62F7"/>
    <w:rsid w:val="005E6AD5"/>
    <w:rsid w:val="005E6C5F"/>
    <w:rsid w:val="005F3DB0"/>
    <w:rsid w:val="005F6AED"/>
    <w:rsid w:val="005F7F53"/>
    <w:rsid w:val="00605307"/>
    <w:rsid w:val="00616369"/>
    <w:rsid w:val="0063335B"/>
    <w:rsid w:val="00635D0B"/>
    <w:rsid w:val="006421E4"/>
    <w:rsid w:val="0064269B"/>
    <w:rsid w:val="00645630"/>
    <w:rsid w:val="00653A29"/>
    <w:rsid w:val="006540A7"/>
    <w:rsid w:val="006634A2"/>
    <w:rsid w:val="006679F6"/>
    <w:rsid w:val="0067280E"/>
    <w:rsid w:val="00673F24"/>
    <w:rsid w:val="00675A92"/>
    <w:rsid w:val="00683407"/>
    <w:rsid w:val="00684C17"/>
    <w:rsid w:val="00686B07"/>
    <w:rsid w:val="00686FBE"/>
    <w:rsid w:val="006A327E"/>
    <w:rsid w:val="006A3944"/>
    <w:rsid w:val="006A3DA2"/>
    <w:rsid w:val="006A47DA"/>
    <w:rsid w:val="006B17AC"/>
    <w:rsid w:val="006B2888"/>
    <w:rsid w:val="006B3A00"/>
    <w:rsid w:val="006C3166"/>
    <w:rsid w:val="006D58BC"/>
    <w:rsid w:val="006D71E3"/>
    <w:rsid w:val="006E1903"/>
    <w:rsid w:val="006E4098"/>
    <w:rsid w:val="006E6D56"/>
    <w:rsid w:val="006F56EA"/>
    <w:rsid w:val="0070478F"/>
    <w:rsid w:val="00707293"/>
    <w:rsid w:val="007213CA"/>
    <w:rsid w:val="00722FE1"/>
    <w:rsid w:val="00723947"/>
    <w:rsid w:val="00725DEA"/>
    <w:rsid w:val="007261AE"/>
    <w:rsid w:val="0075089A"/>
    <w:rsid w:val="00760769"/>
    <w:rsid w:val="00760F9E"/>
    <w:rsid w:val="00762E01"/>
    <w:rsid w:val="0076560C"/>
    <w:rsid w:val="007662FF"/>
    <w:rsid w:val="0076747E"/>
    <w:rsid w:val="007703F6"/>
    <w:rsid w:val="00770496"/>
    <w:rsid w:val="00773A07"/>
    <w:rsid w:val="00773BAE"/>
    <w:rsid w:val="00773EEF"/>
    <w:rsid w:val="007756E2"/>
    <w:rsid w:val="00776D10"/>
    <w:rsid w:val="00783FD0"/>
    <w:rsid w:val="00787CB9"/>
    <w:rsid w:val="0079111E"/>
    <w:rsid w:val="007A17C2"/>
    <w:rsid w:val="007A2173"/>
    <w:rsid w:val="007A4D84"/>
    <w:rsid w:val="007A58FD"/>
    <w:rsid w:val="007A6F38"/>
    <w:rsid w:val="007B0463"/>
    <w:rsid w:val="007B553A"/>
    <w:rsid w:val="007C0A89"/>
    <w:rsid w:val="007C2511"/>
    <w:rsid w:val="007C2724"/>
    <w:rsid w:val="007C49B8"/>
    <w:rsid w:val="007C5B8F"/>
    <w:rsid w:val="007D6C5C"/>
    <w:rsid w:val="007D6DF5"/>
    <w:rsid w:val="007D7608"/>
    <w:rsid w:val="007D7C32"/>
    <w:rsid w:val="007E0B07"/>
    <w:rsid w:val="007E12A7"/>
    <w:rsid w:val="007E4014"/>
    <w:rsid w:val="007E4833"/>
    <w:rsid w:val="007E5D96"/>
    <w:rsid w:val="007E70EE"/>
    <w:rsid w:val="007F10F0"/>
    <w:rsid w:val="007F49DF"/>
    <w:rsid w:val="00800F5F"/>
    <w:rsid w:val="00801187"/>
    <w:rsid w:val="00802286"/>
    <w:rsid w:val="00806708"/>
    <w:rsid w:val="00807E78"/>
    <w:rsid w:val="00810584"/>
    <w:rsid w:val="00814247"/>
    <w:rsid w:val="0081435B"/>
    <w:rsid w:val="00816A7B"/>
    <w:rsid w:val="0081788B"/>
    <w:rsid w:val="00817A6D"/>
    <w:rsid w:val="008231ED"/>
    <w:rsid w:val="00823233"/>
    <w:rsid w:val="008263A0"/>
    <w:rsid w:val="00836DBC"/>
    <w:rsid w:val="0084007A"/>
    <w:rsid w:val="00840838"/>
    <w:rsid w:val="00847445"/>
    <w:rsid w:val="008516D7"/>
    <w:rsid w:val="00856DCF"/>
    <w:rsid w:val="008615FC"/>
    <w:rsid w:val="00862A2B"/>
    <w:rsid w:val="008669A1"/>
    <w:rsid w:val="00870F21"/>
    <w:rsid w:val="00874815"/>
    <w:rsid w:val="00890AC9"/>
    <w:rsid w:val="00891A5A"/>
    <w:rsid w:val="00893AB1"/>
    <w:rsid w:val="008946EF"/>
    <w:rsid w:val="008A1B23"/>
    <w:rsid w:val="008A3850"/>
    <w:rsid w:val="008A4854"/>
    <w:rsid w:val="008B103A"/>
    <w:rsid w:val="008B1B03"/>
    <w:rsid w:val="008B5370"/>
    <w:rsid w:val="008B6DCC"/>
    <w:rsid w:val="008D3E93"/>
    <w:rsid w:val="008D4553"/>
    <w:rsid w:val="008E0E55"/>
    <w:rsid w:val="008E346F"/>
    <w:rsid w:val="008E59F1"/>
    <w:rsid w:val="008F1404"/>
    <w:rsid w:val="008F6B7F"/>
    <w:rsid w:val="00901195"/>
    <w:rsid w:val="009027B0"/>
    <w:rsid w:val="009034AE"/>
    <w:rsid w:val="00905934"/>
    <w:rsid w:val="00905FD0"/>
    <w:rsid w:val="009104B5"/>
    <w:rsid w:val="0091086C"/>
    <w:rsid w:val="00911441"/>
    <w:rsid w:val="0091287F"/>
    <w:rsid w:val="00920758"/>
    <w:rsid w:val="00927C1C"/>
    <w:rsid w:val="00933335"/>
    <w:rsid w:val="00934592"/>
    <w:rsid w:val="00941819"/>
    <w:rsid w:val="00942865"/>
    <w:rsid w:val="00943CF9"/>
    <w:rsid w:val="009456A3"/>
    <w:rsid w:val="00946757"/>
    <w:rsid w:val="00951402"/>
    <w:rsid w:val="00951AA3"/>
    <w:rsid w:val="00953C7B"/>
    <w:rsid w:val="009628AC"/>
    <w:rsid w:val="00967820"/>
    <w:rsid w:val="00970200"/>
    <w:rsid w:val="00973965"/>
    <w:rsid w:val="00973E8D"/>
    <w:rsid w:val="00974130"/>
    <w:rsid w:val="00974F16"/>
    <w:rsid w:val="00983454"/>
    <w:rsid w:val="009878BC"/>
    <w:rsid w:val="00990E19"/>
    <w:rsid w:val="00992736"/>
    <w:rsid w:val="009955EE"/>
    <w:rsid w:val="009A1EA2"/>
    <w:rsid w:val="009A2365"/>
    <w:rsid w:val="009A2FCD"/>
    <w:rsid w:val="009B2C91"/>
    <w:rsid w:val="009B33DD"/>
    <w:rsid w:val="009B46F2"/>
    <w:rsid w:val="009B755F"/>
    <w:rsid w:val="009C1D07"/>
    <w:rsid w:val="009D1AB4"/>
    <w:rsid w:val="009D4E9E"/>
    <w:rsid w:val="009D79DB"/>
    <w:rsid w:val="009E17AD"/>
    <w:rsid w:val="009E43BE"/>
    <w:rsid w:val="009E5240"/>
    <w:rsid w:val="009F33D2"/>
    <w:rsid w:val="00A00987"/>
    <w:rsid w:val="00A02656"/>
    <w:rsid w:val="00A0455B"/>
    <w:rsid w:val="00A10A4E"/>
    <w:rsid w:val="00A11990"/>
    <w:rsid w:val="00A12829"/>
    <w:rsid w:val="00A14C17"/>
    <w:rsid w:val="00A14CCC"/>
    <w:rsid w:val="00A16517"/>
    <w:rsid w:val="00A20D8A"/>
    <w:rsid w:val="00A21C95"/>
    <w:rsid w:val="00A22F5A"/>
    <w:rsid w:val="00A23923"/>
    <w:rsid w:val="00A2416D"/>
    <w:rsid w:val="00A26D97"/>
    <w:rsid w:val="00A2758F"/>
    <w:rsid w:val="00A309D0"/>
    <w:rsid w:val="00A40577"/>
    <w:rsid w:val="00A42E7B"/>
    <w:rsid w:val="00A46816"/>
    <w:rsid w:val="00A506D8"/>
    <w:rsid w:val="00A52CFA"/>
    <w:rsid w:val="00A5490A"/>
    <w:rsid w:val="00A5518C"/>
    <w:rsid w:val="00A560ED"/>
    <w:rsid w:val="00A56763"/>
    <w:rsid w:val="00A70CDB"/>
    <w:rsid w:val="00A72597"/>
    <w:rsid w:val="00A7587E"/>
    <w:rsid w:val="00A75F19"/>
    <w:rsid w:val="00A86492"/>
    <w:rsid w:val="00A8710E"/>
    <w:rsid w:val="00A90CDA"/>
    <w:rsid w:val="00A92334"/>
    <w:rsid w:val="00A93BB7"/>
    <w:rsid w:val="00A97DC6"/>
    <w:rsid w:val="00AA0CF3"/>
    <w:rsid w:val="00AA10DC"/>
    <w:rsid w:val="00AA3948"/>
    <w:rsid w:val="00AA441F"/>
    <w:rsid w:val="00AA6190"/>
    <w:rsid w:val="00AC5F93"/>
    <w:rsid w:val="00AD3D0C"/>
    <w:rsid w:val="00AD5A50"/>
    <w:rsid w:val="00AE334E"/>
    <w:rsid w:val="00AF5CE5"/>
    <w:rsid w:val="00AF66D9"/>
    <w:rsid w:val="00B01404"/>
    <w:rsid w:val="00B03714"/>
    <w:rsid w:val="00B20C7C"/>
    <w:rsid w:val="00B248AA"/>
    <w:rsid w:val="00B27BF3"/>
    <w:rsid w:val="00B30737"/>
    <w:rsid w:val="00B35372"/>
    <w:rsid w:val="00B41DE0"/>
    <w:rsid w:val="00B44906"/>
    <w:rsid w:val="00B454C4"/>
    <w:rsid w:val="00B531B3"/>
    <w:rsid w:val="00B54FF3"/>
    <w:rsid w:val="00B564FD"/>
    <w:rsid w:val="00B5731E"/>
    <w:rsid w:val="00B60083"/>
    <w:rsid w:val="00B61F90"/>
    <w:rsid w:val="00B64C1E"/>
    <w:rsid w:val="00B67A0B"/>
    <w:rsid w:val="00B86780"/>
    <w:rsid w:val="00B875FC"/>
    <w:rsid w:val="00BA1C6B"/>
    <w:rsid w:val="00BA51FD"/>
    <w:rsid w:val="00BA6663"/>
    <w:rsid w:val="00BB1C53"/>
    <w:rsid w:val="00BB76ED"/>
    <w:rsid w:val="00BC11F6"/>
    <w:rsid w:val="00BC435D"/>
    <w:rsid w:val="00BD1B06"/>
    <w:rsid w:val="00BD2095"/>
    <w:rsid w:val="00BF196C"/>
    <w:rsid w:val="00BF79EE"/>
    <w:rsid w:val="00C079B4"/>
    <w:rsid w:val="00C13A70"/>
    <w:rsid w:val="00C21C3D"/>
    <w:rsid w:val="00C35E63"/>
    <w:rsid w:val="00C368A2"/>
    <w:rsid w:val="00C374E6"/>
    <w:rsid w:val="00C425CD"/>
    <w:rsid w:val="00C4328F"/>
    <w:rsid w:val="00C56F9C"/>
    <w:rsid w:val="00C671F8"/>
    <w:rsid w:val="00C67483"/>
    <w:rsid w:val="00C73F74"/>
    <w:rsid w:val="00C743CD"/>
    <w:rsid w:val="00C822F0"/>
    <w:rsid w:val="00C82DCF"/>
    <w:rsid w:val="00C87941"/>
    <w:rsid w:val="00C87AB9"/>
    <w:rsid w:val="00C9050A"/>
    <w:rsid w:val="00C90BA3"/>
    <w:rsid w:val="00C93052"/>
    <w:rsid w:val="00C95AA8"/>
    <w:rsid w:val="00CA37FA"/>
    <w:rsid w:val="00CA3986"/>
    <w:rsid w:val="00CA44EC"/>
    <w:rsid w:val="00CB0539"/>
    <w:rsid w:val="00CB0AB0"/>
    <w:rsid w:val="00CB5AFA"/>
    <w:rsid w:val="00CC0184"/>
    <w:rsid w:val="00CC0682"/>
    <w:rsid w:val="00CC0FB5"/>
    <w:rsid w:val="00CC2ED9"/>
    <w:rsid w:val="00CD5229"/>
    <w:rsid w:val="00CD5259"/>
    <w:rsid w:val="00CE1AA6"/>
    <w:rsid w:val="00CE5ECE"/>
    <w:rsid w:val="00CE7D2D"/>
    <w:rsid w:val="00CF2286"/>
    <w:rsid w:val="00CF5486"/>
    <w:rsid w:val="00D03C5D"/>
    <w:rsid w:val="00D03E4C"/>
    <w:rsid w:val="00D05143"/>
    <w:rsid w:val="00D06D2F"/>
    <w:rsid w:val="00D0743C"/>
    <w:rsid w:val="00D138AD"/>
    <w:rsid w:val="00D31F22"/>
    <w:rsid w:val="00D31F82"/>
    <w:rsid w:val="00D3431E"/>
    <w:rsid w:val="00D37E0B"/>
    <w:rsid w:val="00D453DE"/>
    <w:rsid w:val="00D5133F"/>
    <w:rsid w:val="00D54355"/>
    <w:rsid w:val="00D54CD3"/>
    <w:rsid w:val="00D62849"/>
    <w:rsid w:val="00D6769F"/>
    <w:rsid w:val="00D71910"/>
    <w:rsid w:val="00D732D0"/>
    <w:rsid w:val="00D761C4"/>
    <w:rsid w:val="00D92266"/>
    <w:rsid w:val="00D937B3"/>
    <w:rsid w:val="00D938B0"/>
    <w:rsid w:val="00D945C0"/>
    <w:rsid w:val="00D94CD8"/>
    <w:rsid w:val="00D963F2"/>
    <w:rsid w:val="00DA17C6"/>
    <w:rsid w:val="00DA5910"/>
    <w:rsid w:val="00DB3BB3"/>
    <w:rsid w:val="00DB49D0"/>
    <w:rsid w:val="00DB7344"/>
    <w:rsid w:val="00DC15DF"/>
    <w:rsid w:val="00DC1808"/>
    <w:rsid w:val="00DC3B02"/>
    <w:rsid w:val="00DC5F03"/>
    <w:rsid w:val="00DD1F78"/>
    <w:rsid w:val="00DD296F"/>
    <w:rsid w:val="00DD6A1D"/>
    <w:rsid w:val="00DD6AA1"/>
    <w:rsid w:val="00DE3695"/>
    <w:rsid w:val="00DF200B"/>
    <w:rsid w:val="00DF2832"/>
    <w:rsid w:val="00DF3C44"/>
    <w:rsid w:val="00E171FA"/>
    <w:rsid w:val="00E303E1"/>
    <w:rsid w:val="00E31233"/>
    <w:rsid w:val="00E320C0"/>
    <w:rsid w:val="00E32744"/>
    <w:rsid w:val="00E33A34"/>
    <w:rsid w:val="00E33A75"/>
    <w:rsid w:val="00E33F9D"/>
    <w:rsid w:val="00E353D6"/>
    <w:rsid w:val="00E353E2"/>
    <w:rsid w:val="00E35EDB"/>
    <w:rsid w:val="00E370DC"/>
    <w:rsid w:val="00E4051D"/>
    <w:rsid w:val="00E514C2"/>
    <w:rsid w:val="00E52C90"/>
    <w:rsid w:val="00E53FAC"/>
    <w:rsid w:val="00E634B2"/>
    <w:rsid w:val="00E636E9"/>
    <w:rsid w:val="00E66702"/>
    <w:rsid w:val="00E66D1C"/>
    <w:rsid w:val="00E67CEC"/>
    <w:rsid w:val="00E67F27"/>
    <w:rsid w:val="00E71280"/>
    <w:rsid w:val="00E72A20"/>
    <w:rsid w:val="00E748AB"/>
    <w:rsid w:val="00E8520C"/>
    <w:rsid w:val="00E92140"/>
    <w:rsid w:val="00E951B0"/>
    <w:rsid w:val="00EA49A9"/>
    <w:rsid w:val="00EB4C3C"/>
    <w:rsid w:val="00EC0871"/>
    <w:rsid w:val="00EC39D8"/>
    <w:rsid w:val="00EC744C"/>
    <w:rsid w:val="00ED2144"/>
    <w:rsid w:val="00EE1899"/>
    <w:rsid w:val="00EF08F7"/>
    <w:rsid w:val="00EF1DFB"/>
    <w:rsid w:val="00EF2916"/>
    <w:rsid w:val="00EF29B6"/>
    <w:rsid w:val="00EF4EF1"/>
    <w:rsid w:val="00EF5AA6"/>
    <w:rsid w:val="00F0735A"/>
    <w:rsid w:val="00F10FED"/>
    <w:rsid w:val="00F12ADA"/>
    <w:rsid w:val="00F172FA"/>
    <w:rsid w:val="00F21FF8"/>
    <w:rsid w:val="00F25BFD"/>
    <w:rsid w:val="00F27257"/>
    <w:rsid w:val="00F3269E"/>
    <w:rsid w:val="00F4421C"/>
    <w:rsid w:val="00F4519F"/>
    <w:rsid w:val="00F457B5"/>
    <w:rsid w:val="00F46870"/>
    <w:rsid w:val="00F46A18"/>
    <w:rsid w:val="00F47187"/>
    <w:rsid w:val="00F479C8"/>
    <w:rsid w:val="00F5199B"/>
    <w:rsid w:val="00F532EE"/>
    <w:rsid w:val="00F67099"/>
    <w:rsid w:val="00F6766C"/>
    <w:rsid w:val="00F70ED8"/>
    <w:rsid w:val="00F72C7F"/>
    <w:rsid w:val="00F80909"/>
    <w:rsid w:val="00F833F9"/>
    <w:rsid w:val="00F85411"/>
    <w:rsid w:val="00F90F7F"/>
    <w:rsid w:val="00F93476"/>
    <w:rsid w:val="00F937D8"/>
    <w:rsid w:val="00F95150"/>
    <w:rsid w:val="00F97BEC"/>
    <w:rsid w:val="00FA0121"/>
    <w:rsid w:val="00FA4CA2"/>
    <w:rsid w:val="00FC0080"/>
    <w:rsid w:val="00FC02BC"/>
    <w:rsid w:val="00FC2AEF"/>
    <w:rsid w:val="00FC548E"/>
    <w:rsid w:val="00FD30E3"/>
    <w:rsid w:val="00FD4C1D"/>
    <w:rsid w:val="00FD563F"/>
    <w:rsid w:val="00FD6536"/>
    <w:rsid w:val="00FD756C"/>
    <w:rsid w:val="0140C7A0"/>
    <w:rsid w:val="018E63DD"/>
    <w:rsid w:val="026D27DD"/>
    <w:rsid w:val="02EF2309"/>
    <w:rsid w:val="035CCE39"/>
    <w:rsid w:val="03678204"/>
    <w:rsid w:val="04FDA9D4"/>
    <w:rsid w:val="05598DA1"/>
    <w:rsid w:val="06D9A33C"/>
    <w:rsid w:val="074E55A8"/>
    <w:rsid w:val="07574F32"/>
    <w:rsid w:val="08E59277"/>
    <w:rsid w:val="09407AB1"/>
    <w:rsid w:val="098477A5"/>
    <w:rsid w:val="0A18EDD8"/>
    <w:rsid w:val="0CD20DCF"/>
    <w:rsid w:val="0DC744B2"/>
    <w:rsid w:val="0DEA20EF"/>
    <w:rsid w:val="0E982FC8"/>
    <w:rsid w:val="0F5A9E5C"/>
    <w:rsid w:val="0F85F4B3"/>
    <w:rsid w:val="103E60AE"/>
    <w:rsid w:val="10709DAC"/>
    <w:rsid w:val="12354EB5"/>
    <w:rsid w:val="126D7725"/>
    <w:rsid w:val="131A7972"/>
    <w:rsid w:val="132BC7EC"/>
    <w:rsid w:val="138585EC"/>
    <w:rsid w:val="158568A7"/>
    <w:rsid w:val="15C7E020"/>
    <w:rsid w:val="15FA7E28"/>
    <w:rsid w:val="163F8CE1"/>
    <w:rsid w:val="1666426F"/>
    <w:rsid w:val="16B7B190"/>
    <w:rsid w:val="171127A4"/>
    <w:rsid w:val="174820A2"/>
    <w:rsid w:val="18DAE41E"/>
    <w:rsid w:val="1C81EE6D"/>
    <w:rsid w:val="1CB229FC"/>
    <w:rsid w:val="1D6083B3"/>
    <w:rsid w:val="1E682D8A"/>
    <w:rsid w:val="1E6EB273"/>
    <w:rsid w:val="1F5FA17B"/>
    <w:rsid w:val="1F7F4295"/>
    <w:rsid w:val="1FC9EFAA"/>
    <w:rsid w:val="2252C6E6"/>
    <w:rsid w:val="226D76F1"/>
    <w:rsid w:val="22989142"/>
    <w:rsid w:val="22D342CB"/>
    <w:rsid w:val="24B0B1D5"/>
    <w:rsid w:val="24D4210E"/>
    <w:rsid w:val="256F888D"/>
    <w:rsid w:val="25732F86"/>
    <w:rsid w:val="262B49E8"/>
    <w:rsid w:val="271C39CE"/>
    <w:rsid w:val="27DC549E"/>
    <w:rsid w:val="28610D12"/>
    <w:rsid w:val="28F81F8A"/>
    <w:rsid w:val="29EE521A"/>
    <w:rsid w:val="2A25D0CB"/>
    <w:rsid w:val="2A58098B"/>
    <w:rsid w:val="2B2DEC75"/>
    <w:rsid w:val="2BCA2855"/>
    <w:rsid w:val="2C70C733"/>
    <w:rsid w:val="2C791D08"/>
    <w:rsid w:val="2D496F78"/>
    <w:rsid w:val="2D56FFCC"/>
    <w:rsid w:val="2D9EF561"/>
    <w:rsid w:val="2DB2BB83"/>
    <w:rsid w:val="2DCCEB8E"/>
    <w:rsid w:val="2E1FC18C"/>
    <w:rsid w:val="2FCAFAA7"/>
    <w:rsid w:val="30546EA0"/>
    <w:rsid w:val="30626EEE"/>
    <w:rsid w:val="306C8A96"/>
    <w:rsid w:val="308ED9AD"/>
    <w:rsid w:val="30949CB6"/>
    <w:rsid w:val="3238B923"/>
    <w:rsid w:val="333577AB"/>
    <w:rsid w:val="3341D437"/>
    <w:rsid w:val="34109025"/>
    <w:rsid w:val="3437B05E"/>
    <w:rsid w:val="348A8BD6"/>
    <w:rsid w:val="34AF5C81"/>
    <w:rsid w:val="36A7D438"/>
    <w:rsid w:val="39F42847"/>
    <w:rsid w:val="3A289E89"/>
    <w:rsid w:val="3AE40274"/>
    <w:rsid w:val="3B2F7C3F"/>
    <w:rsid w:val="3B61A80B"/>
    <w:rsid w:val="3BB186E5"/>
    <w:rsid w:val="3BF35482"/>
    <w:rsid w:val="3E7819DA"/>
    <w:rsid w:val="3E88A57F"/>
    <w:rsid w:val="40B108C9"/>
    <w:rsid w:val="4353CA7A"/>
    <w:rsid w:val="43BAE949"/>
    <w:rsid w:val="43D7F982"/>
    <w:rsid w:val="44930CC2"/>
    <w:rsid w:val="44A9B444"/>
    <w:rsid w:val="458FBAFC"/>
    <w:rsid w:val="460584BF"/>
    <w:rsid w:val="46140E6A"/>
    <w:rsid w:val="472FA3BC"/>
    <w:rsid w:val="48973757"/>
    <w:rsid w:val="48C34B4E"/>
    <w:rsid w:val="48D578BA"/>
    <w:rsid w:val="48DD26F0"/>
    <w:rsid w:val="491F7EF5"/>
    <w:rsid w:val="4B2CD4BC"/>
    <w:rsid w:val="4B771A8A"/>
    <w:rsid w:val="4CEDA33A"/>
    <w:rsid w:val="50C80D13"/>
    <w:rsid w:val="50D56C1B"/>
    <w:rsid w:val="511593EA"/>
    <w:rsid w:val="51ACD8FE"/>
    <w:rsid w:val="51D22B43"/>
    <w:rsid w:val="51FBFA6C"/>
    <w:rsid w:val="51FC31AA"/>
    <w:rsid w:val="5248072E"/>
    <w:rsid w:val="5280BEBA"/>
    <w:rsid w:val="52B95EB7"/>
    <w:rsid w:val="531439D4"/>
    <w:rsid w:val="53CFD50A"/>
    <w:rsid w:val="55C85EC9"/>
    <w:rsid w:val="5641208D"/>
    <w:rsid w:val="5717CA1A"/>
    <w:rsid w:val="5736559C"/>
    <w:rsid w:val="57D95566"/>
    <w:rsid w:val="58120987"/>
    <w:rsid w:val="58D3A79A"/>
    <w:rsid w:val="59CE2566"/>
    <w:rsid w:val="59FD00C9"/>
    <w:rsid w:val="5AEDD3DC"/>
    <w:rsid w:val="5B60B517"/>
    <w:rsid w:val="5BF0006C"/>
    <w:rsid w:val="5C36DB81"/>
    <w:rsid w:val="5C6E8A71"/>
    <w:rsid w:val="5CF7C062"/>
    <w:rsid w:val="5D7FAA28"/>
    <w:rsid w:val="5E9F9812"/>
    <w:rsid w:val="5EB67707"/>
    <w:rsid w:val="5FD93C01"/>
    <w:rsid w:val="6009834E"/>
    <w:rsid w:val="607CA04C"/>
    <w:rsid w:val="60E22451"/>
    <w:rsid w:val="617CF5F2"/>
    <w:rsid w:val="6344C597"/>
    <w:rsid w:val="6478EE8C"/>
    <w:rsid w:val="64EFEC94"/>
    <w:rsid w:val="651C1169"/>
    <w:rsid w:val="65893C83"/>
    <w:rsid w:val="66A261B9"/>
    <w:rsid w:val="67282525"/>
    <w:rsid w:val="6757AF39"/>
    <w:rsid w:val="67EF3220"/>
    <w:rsid w:val="689DFC5A"/>
    <w:rsid w:val="68CEF950"/>
    <w:rsid w:val="69311A77"/>
    <w:rsid w:val="6C49B384"/>
    <w:rsid w:val="6C661C30"/>
    <w:rsid w:val="6CB64241"/>
    <w:rsid w:val="6D28E0D4"/>
    <w:rsid w:val="6D5CF222"/>
    <w:rsid w:val="6DC5B9F1"/>
    <w:rsid w:val="6E12FAD0"/>
    <w:rsid w:val="6E64BDD9"/>
    <w:rsid w:val="6EACDB6C"/>
    <w:rsid w:val="6FDE5CE9"/>
    <w:rsid w:val="708ED153"/>
    <w:rsid w:val="7094D3B7"/>
    <w:rsid w:val="71145F16"/>
    <w:rsid w:val="711C1BE1"/>
    <w:rsid w:val="71D9E4A2"/>
    <w:rsid w:val="71FBEAE7"/>
    <w:rsid w:val="733D9211"/>
    <w:rsid w:val="74022C0B"/>
    <w:rsid w:val="742AAD05"/>
    <w:rsid w:val="751A1140"/>
    <w:rsid w:val="75CB37FE"/>
    <w:rsid w:val="76A34F88"/>
    <w:rsid w:val="775F3805"/>
    <w:rsid w:val="78DCDBB4"/>
    <w:rsid w:val="790E9D87"/>
    <w:rsid w:val="7A87678B"/>
    <w:rsid w:val="7A998824"/>
    <w:rsid w:val="7AEE12BD"/>
    <w:rsid w:val="7C28B7AA"/>
    <w:rsid w:val="7CD9532D"/>
    <w:rsid w:val="7E045DDE"/>
    <w:rsid w:val="7E7B66DD"/>
    <w:rsid w:val="7ECA3A2B"/>
    <w:rsid w:val="7EEC865C"/>
    <w:rsid w:val="7F19E27D"/>
    <w:rsid w:val="7FECDAB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376F3"/>
  <w15:docId w15:val="{54E621BC-3E0A-43CD-9E84-3696FF9D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A0B"/>
  </w:style>
  <w:style w:type="paragraph" w:styleId="Heading1">
    <w:name w:val="heading 1"/>
    <w:basedOn w:val="Normal"/>
    <w:next w:val="Normal"/>
    <w:link w:val="Heading1Char"/>
    <w:uiPriority w:val="9"/>
    <w:qFormat/>
    <w:rsid w:val="003C47F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564F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A0CF3"/>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7F8"/>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7D6C5C"/>
    <w:pPr>
      <w:tabs>
        <w:tab w:val="left" w:pos="720"/>
        <w:tab w:val="right" w:leader="dot" w:pos="9020"/>
      </w:tabs>
      <w:spacing w:after="100"/>
      <w:jc w:val="center"/>
    </w:pPr>
  </w:style>
  <w:style w:type="character" w:styleId="Hyperlink">
    <w:name w:val="Hyperlink"/>
    <w:basedOn w:val="DefaultParagraphFont"/>
    <w:uiPriority w:val="99"/>
    <w:unhideWhenUsed/>
    <w:rsid w:val="0010343F"/>
    <w:rPr>
      <w:color w:val="0563C1" w:themeColor="hyperlink"/>
      <w:u w:val="single"/>
    </w:rPr>
  </w:style>
  <w:style w:type="paragraph" w:styleId="ListParagraph">
    <w:name w:val="List Paragraph"/>
    <w:basedOn w:val="Normal"/>
    <w:uiPriority w:val="1"/>
    <w:qFormat/>
    <w:rsid w:val="00B564FD"/>
    <w:pPr>
      <w:ind w:left="720"/>
      <w:contextualSpacing/>
    </w:pPr>
  </w:style>
  <w:style w:type="character" w:customStyle="1" w:styleId="Heading2Char">
    <w:name w:val="Heading 2 Char"/>
    <w:basedOn w:val="DefaultParagraphFont"/>
    <w:link w:val="Heading2"/>
    <w:uiPriority w:val="9"/>
    <w:rsid w:val="00B564FD"/>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946757"/>
    <w:pPr>
      <w:spacing w:after="100"/>
      <w:ind w:left="220"/>
    </w:pPr>
  </w:style>
  <w:style w:type="paragraph" w:styleId="TOCHeading">
    <w:name w:val="TOC Heading"/>
    <w:basedOn w:val="Heading1"/>
    <w:next w:val="Normal"/>
    <w:uiPriority w:val="39"/>
    <w:unhideWhenUsed/>
    <w:qFormat/>
    <w:rsid w:val="00C35E63"/>
    <w:pPr>
      <w:spacing w:line="259" w:lineRule="auto"/>
      <w:outlineLvl w:val="9"/>
    </w:pPr>
  </w:style>
  <w:style w:type="paragraph" w:styleId="Title">
    <w:name w:val="Title"/>
    <w:basedOn w:val="Normal"/>
    <w:next w:val="Normal"/>
    <w:link w:val="TitleChar"/>
    <w:uiPriority w:val="10"/>
    <w:qFormat/>
    <w:rsid w:val="00C35E6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5E6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9E17AD"/>
    <w:pPr>
      <w:tabs>
        <w:tab w:val="center" w:pos="4513"/>
        <w:tab w:val="right" w:pos="9026"/>
      </w:tabs>
    </w:pPr>
  </w:style>
  <w:style w:type="character" w:customStyle="1" w:styleId="HeaderChar">
    <w:name w:val="Header Char"/>
    <w:basedOn w:val="DefaultParagraphFont"/>
    <w:link w:val="Header"/>
    <w:uiPriority w:val="99"/>
    <w:rsid w:val="009E17AD"/>
  </w:style>
  <w:style w:type="paragraph" w:styleId="Footer">
    <w:name w:val="footer"/>
    <w:basedOn w:val="Normal"/>
    <w:link w:val="FooterChar"/>
    <w:uiPriority w:val="99"/>
    <w:unhideWhenUsed/>
    <w:rsid w:val="009E17AD"/>
    <w:pPr>
      <w:tabs>
        <w:tab w:val="center" w:pos="4513"/>
        <w:tab w:val="right" w:pos="9026"/>
      </w:tabs>
    </w:pPr>
  </w:style>
  <w:style w:type="character" w:customStyle="1" w:styleId="FooterChar">
    <w:name w:val="Footer Char"/>
    <w:basedOn w:val="DefaultParagraphFont"/>
    <w:link w:val="Footer"/>
    <w:uiPriority w:val="99"/>
    <w:rsid w:val="009E17AD"/>
  </w:style>
  <w:style w:type="character" w:styleId="Strong">
    <w:name w:val="Strong"/>
    <w:basedOn w:val="DefaultParagraphFont"/>
    <w:uiPriority w:val="22"/>
    <w:qFormat/>
    <w:rsid w:val="001C22DA"/>
    <w:rPr>
      <w:b/>
      <w:bCs/>
    </w:rPr>
  </w:style>
  <w:style w:type="paragraph" w:styleId="BodyText">
    <w:name w:val="Body Text"/>
    <w:basedOn w:val="Normal"/>
    <w:link w:val="BodyTextChar"/>
    <w:uiPriority w:val="1"/>
    <w:qFormat/>
    <w:rsid w:val="00316764"/>
    <w:pPr>
      <w:widowControl w:val="0"/>
      <w:autoSpaceDE w:val="0"/>
      <w:autoSpaceDN w:val="0"/>
    </w:pPr>
    <w:rPr>
      <w:rFonts w:ascii="Carlito" w:eastAsia="Carlito" w:hAnsi="Carlito" w:cs="Carlito"/>
      <w:sz w:val="21"/>
      <w:szCs w:val="21"/>
    </w:rPr>
  </w:style>
  <w:style w:type="character" w:customStyle="1" w:styleId="BodyTextChar">
    <w:name w:val="Body Text Char"/>
    <w:basedOn w:val="DefaultParagraphFont"/>
    <w:link w:val="BodyText"/>
    <w:uiPriority w:val="1"/>
    <w:rsid w:val="00316764"/>
    <w:rPr>
      <w:rFonts w:ascii="Carlito" w:eastAsia="Carlito" w:hAnsi="Carlito" w:cs="Carlito"/>
      <w:sz w:val="21"/>
      <w:szCs w:val="21"/>
    </w:rPr>
  </w:style>
  <w:style w:type="paragraph" w:customStyle="1" w:styleId="TableParagraph">
    <w:name w:val="Table Paragraph"/>
    <w:basedOn w:val="Normal"/>
    <w:uiPriority w:val="1"/>
    <w:qFormat/>
    <w:rsid w:val="00316764"/>
    <w:pPr>
      <w:widowControl w:val="0"/>
      <w:autoSpaceDE w:val="0"/>
      <w:autoSpaceDN w:val="0"/>
      <w:spacing w:before="3"/>
      <w:ind w:left="105"/>
    </w:pPr>
    <w:rPr>
      <w:rFonts w:ascii="Carlito" w:eastAsia="Carlito" w:hAnsi="Carlito" w:cs="Carlito"/>
    </w:rPr>
  </w:style>
  <w:style w:type="paragraph" w:styleId="NoSpacing">
    <w:name w:val="No Spacing"/>
    <w:uiPriority w:val="1"/>
    <w:qFormat/>
    <w:rsid w:val="00D54CD3"/>
  </w:style>
  <w:style w:type="table" w:styleId="TableGrid">
    <w:name w:val="Table Grid"/>
    <w:basedOn w:val="TableNormal"/>
    <w:uiPriority w:val="39"/>
    <w:rsid w:val="00D54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74E6"/>
    <w:pPr>
      <w:autoSpaceDE w:val="0"/>
      <w:autoSpaceDN w:val="0"/>
      <w:adjustRightInd w:val="0"/>
    </w:pPr>
    <w:rPr>
      <w:rFonts w:ascii="Arial" w:eastAsiaTheme="minorHAnsi" w:hAnsi="Arial" w:cs="Arial"/>
      <w:color w:val="000000"/>
      <w:sz w:val="24"/>
      <w:szCs w:val="24"/>
      <w:lang w:val="en-IN"/>
    </w:rPr>
  </w:style>
  <w:style w:type="paragraph" w:styleId="Revision">
    <w:name w:val="Revision"/>
    <w:hidden/>
    <w:uiPriority w:val="99"/>
    <w:semiHidden/>
    <w:rsid w:val="006A3944"/>
  </w:style>
  <w:style w:type="character" w:styleId="CommentReference">
    <w:name w:val="annotation reference"/>
    <w:basedOn w:val="DefaultParagraphFont"/>
    <w:uiPriority w:val="99"/>
    <w:semiHidden/>
    <w:unhideWhenUsed/>
    <w:rsid w:val="003922D5"/>
    <w:rPr>
      <w:sz w:val="16"/>
      <w:szCs w:val="16"/>
    </w:rPr>
  </w:style>
  <w:style w:type="paragraph" w:styleId="CommentText">
    <w:name w:val="annotation text"/>
    <w:basedOn w:val="Normal"/>
    <w:link w:val="CommentTextChar"/>
    <w:uiPriority w:val="99"/>
    <w:unhideWhenUsed/>
    <w:rsid w:val="003922D5"/>
    <w:rPr>
      <w:sz w:val="20"/>
      <w:szCs w:val="20"/>
    </w:rPr>
  </w:style>
  <w:style w:type="character" w:customStyle="1" w:styleId="CommentTextChar">
    <w:name w:val="Comment Text Char"/>
    <w:basedOn w:val="DefaultParagraphFont"/>
    <w:link w:val="CommentText"/>
    <w:uiPriority w:val="99"/>
    <w:rsid w:val="003922D5"/>
    <w:rPr>
      <w:sz w:val="20"/>
      <w:szCs w:val="20"/>
    </w:rPr>
  </w:style>
  <w:style w:type="paragraph" w:styleId="CommentSubject">
    <w:name w:val="annotation subject"/>
    <w:basedOn w:val="CommentText"/>
    <w:next w:val="CommentText"/>
    <w:link w:val="CommentSubjectChar"/>
    <w:uiPriority w:val="99"/>
    <w:semiHidden/>
    <w:unhideWhenUsed/>
    <w:rsid w:val="003922D5"/>
    <w:rPr>
      <w:b/>
      <w:bCs/>
    </w:rPr>
  </w:style>
  <w:style w:type="character" w:customStyle="1" w:styleId="CommentSubjectChar">
    <w:name w:val="Comment Subject Char"/>
    <w:basedOn w:val="CommentTextChar"/>
    <w:link w:val="CommentSubject"/>
    <w:uiPriority w:val="99"/>
    <w:semiHidden/>
    <w:rsid w:val="003922D5"/>
    <w:rPr>
      <w:b/>
      <w:bCs/>
      <w:sz w:val="20"/>
      <w:szCs w:val="20"/>
    </w:rPr>
  </w:style>
  <w:style w:type="character" w:customStyle="1" w:styleId="Heading3Char">
    <w:name w:val="Heading 3 Char"/>
    <w:basedOn w:val="DefaultParagraphFont"/>
    <w:link w:val="Heading3"/>
    <w:uiPriority w:val="9"/>
    <w:semiHidden/>
    <w:rsid w:val="00AA0CF3"/>
    <w:rPr>
      <w:rFonts w:asciiTheme="majorHAnsi" w:eastAsiaTheme="majorEastAsia" w:hAnsiTheme="majorHAnsi" w:cstheme="majorBidi"/>
      <w:color w:val="1F3763" w:themeColor="accent1" w:themeShade="7F"/>
      <w:sz w:val="24"/>
      <w:szCs w:val="24"/>
    </w:rPr>
  </w:style>
  <w:style w:type="paragraph" w:customStyle="1" w:styleId="Decimaloutlinedc1">
    <w:name w:val="Decimal_outlinedc_1"/>
    <w:basedOn w:val="Normal"/>
    <w:rsid w:val="00B67A0B"/>
    <w:pPr>
      <w:numPr>
        <w:numId w:val="53"/>
      </w:numPr>
      <w:spacing w:after="200"/>
      <w:jc w:val="both"/>
      <w:outlineLvl w:val="0"/>
    </w:pPr>
    <w:rPr>
      <w:b/>
    </w:rPr>
  </w:style>
  <w:style w:type="paragraph" w:customStyle="1" w:styleId="Decimaloutlinedc2">
    <w:name w:val="Decimal_outlinedc_2"/>
    <w:basedOn w:val="Normal"/>
    <w:rsid w:val="00B67A0B"/>
    <w:pPr>
      <w:numPr>
        <w:ilvl w:val="1"/>
        <w:numId w:val="53"/>
      </w:numPr>
      <w:spacing w:before="200" w:after="200"/>
      <w:jc w:val="both"/>
      <w:outlineLvl w:val="1"/>
    </w:pPr>
    <w:rPr>
      <w:b/>
    </w:rPr>
  </w:style>
  <w:style w:type="paragraph" w:customStyle="1" w:styleId="Decimaloutlinedc3">
    <w:name w:val="Decimal_outlinedc_3"/>
    <w:basedOn w:val="Normal"/>
    <w:rsid w:val="00B67A0B"/>
    <w:pPr>
      <w:numPr>
        <w:ilvl w:val="2"/>
        <w:numId w:val="53"/>
      </w:numPr>
      <w:spacing w:after="200"/>
      <w:jc w:val="both"/>
      <w:outlineLvl w:val="2"/>
    </w:pPr>
  </w:style>
  <w:style w:type="paragraph" w:customStyle="1" w:styleId="Decimaloutlinedc4">
    <w:name w:val="Decimal_outlinedc_4"/>
    <w:basedOn w:val="Normal"/>
    <w:rsid w:val="00B67A0B"/>
    <w:pPr>
      <w:numPr>
        <w:ilvl w:val="3"/>
        <w:numId w:val="53"/>
      </w:numPr>
      <w:spacing w:after="200"/>
      <w:jc w:val="both"/>
      <w:outlineLvl w:val="3"/>
    </w:pPr>
  </w:style>
  <w:style w:type="paragraph" w:customStyle="1" w:styleId="Decimaloutlinedc5">
    <w:name w:val="Decimal_outlinedc_5"/>
    <w:basedOn w:val="Normal"/>
    <w:rsid w:val="00B67A0B"/>
    <w:pPr>
      <w:numPr>
        <w:ilvl w:val="4"/>
        <w:numId w:val="53"/>
      </w:numPr>
      <w:spacing w:after="200"/>
      <w:jc w:val="both"/>
      <w:outlineLvl w:val="4"/>
    </w:pPr>
  </w:style>
  <w:style w:type="paragraph" w:customStyle="1" w:styleId="Decimaloutlinedc11">
    <w:name w:val="Decimal_outlinedc(1)_1"/>
    <w:basedOn w:val="Normal"/>
    <w:rsid w:val="00B67A0B"/>
    <w:pPr>
      <w:numPr>
        <w:numId w:val="62"/>
      </w:numPr>
      <w:spacing w:after="200"/>
      <w:jc w:val="both"/>
      <w:outlineLvl w:val="0"/>
    </w:pPr>
    <w:rPr>
      <w:b/>
    </w:rPr>
  </w:style>
  <w:style w:type="paragraph" w:customStyle="1" w:styleId="Decimaloutlinedc12">
    <w:name w:val="Decimal_outlinedc(1)_2"/>
    <w:basedOn w:val="Normal"/>
    <w:rsid w:val="00B67A0B"/>
    <w:pPr>
      <w:numPr>
        <w:ilvl w:val="1"/>
        <w:numId w:val="62"/>
      </w:numPr>
      <w:spacing w:after="200"/>
      <w:jc w:val="both"/>
      <w:outlineLvl w:val="1"/>
    </w:pPr>
    <w:rPr>
      <w:b/>
    </w:rPr>
  </w:style>
  <w:style w:type="paragraph" w:styleId="TOC4">
    <w:name w:val="toc 4"/>
    <w:basedOn w:val="Normal"/>
    <w:next w:val="Normal"/>
    <w:autoRedefine/>
    <w:uiPriority w:val="39"/>
    <w:semiHidden/>
    <w:unhideWhenUsed/>
    <w:rsid w:val="00B67A0B"/>
    <w:pPr>
      <w:spacing w:after="100"/>
      <w:ind w:left="660"/>
    </w:pPr>
  </w:style>
  <w:style w:type="paragraph" w:styleId="TOC5">
    <w:name w:val="toc 5"/>
    <w:basedOn w:val="Normal"/>
    <w:next w:val="Normal"/>
    <w:autoRedefine/>
    <w:uiPriority w:val="39"/>
    <w:semiHidden/>
    <w:unhideWhenUsed/>
    <w:rsid w:val="00B67A0B"/>
    <w:pPr>
      <w:spacing w:after="100"/>
      <w:ind w:left="880"/>
    </w:pPr>
  </w:style>
  <w:style w:type="paragraph" w:styleId="TOC3">
    <w:name w:val="toc 3"/>
    <w:basedOn w:val="Normal"/>
    <w:next w:val="Normal"/>
    <w:autoRedefine/>
    <w:uiPriority w:val="39"/>
    <w:semiHidden/>
    <w:unhideWhenUsed/>
    <w:rsid w:val="00B67A0B"/>
    <w:pPr>
      <w:spacing w:after="100"/>
      <w:ind w:left="440"/>
    </w:pPr>
  </w:style>
  <w:style w:type="character" w:customStyle="1" w:styleId="BodytextBold">
    <w:name w:val="Body text + Bold"/>
    <w:basedOn w:val="DefaultParagraphFont"/>
    <w:rsid w:val="00072CAC"/>
    <w:rPr>
      <w:b/>
      <w:bCs/>
      <w:shd w:val="clear" w:color="auto" w:fill="FFFFFF"/>
    </w:rPr>
  </w:style>
  <w:style w:type="character" w:styleId="UnresolvedMention">
    <w:name w:val="Unresolved Mention"/>
    <w:basedOn w:val="DefaultParagraphFont"/>
    <w:uiPriority w:val="99"/>
    <w:semiHidden/>
    <w:unhideWhenUsed/>
    <w:rsid w:val="003F1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72982">
      <w:bodyDiv w:val="1"/>
      <w:marLeft w:val="0"/>
      <w:marRight w:val="0"/>
      <w:marTop w:val="0"/>
      <w:marBottom w:val="0"/>
      <w:divBdr>
        <w:top w:val="none" w:sz="0" w:space="0" w:color="auto"/>
        <w:left w:val="none" w:sz="0" w:space="0" w:color="auto"/>
        <w:bottom w:val="none" w:sz="0" w:space="0" w:color="auto"/>
        <w:right w:val="none" w:sz="0" w:space="0" w:color="auto"/>
      </w:divBdr>
    </w:div>
    <w:div w:id="178858924">
      <w:bodyDiv w:val="1"/>
      <w:marLeft w:val="0"/>
      <w:marRight w:val="0"/>
      <w:marTop w:val="0"/>
      <w:marBottom w:val="0"/>
      <w:divBdr>
        <w:top w:val="none" w:sz="0" w:space="0" w:color="auto"/>
        <w:left w:val="none" w:sz="0" w:space="0" w:color="auto"/>
        <w:bottom w:val="none" w:sz="0" w:space="0" w:color="auto"/>
        <w:right w:val="none" w:sz="0" w:space="0" w:color="auto"/>
      </w:divBdr>
    </w:div>
    <w:div w:id="219171724">
      <w:bodyDiv w:val="1"/>
      <w:marLeft w:val="0"/>
      <w:marRight w:val="0"/>
      <w:marTop w:val="0"/>
      <w:marBottom w:val="0"/>
      <w:divBdr>
        <w:top w:val="none" w:sz="0" w:space="0" w:color="auto"/>
        <w:left w:val="none" w:sz="0" w:space="0" w:color="auto"/>
        <w:bottom w:val="none" w:sz="0" w:space="0" w:color="auto"/>
        <w:right w:val="none" w:sz="0" w:space="0" w:color="auto"/>
      </w:divBdr>
    </w:div>
    <w:div w:id="317535832">
      <w:bodyDiv w:val="1"/>
      <w:marLeft w:val="0"/>
      <w:marRight w:val="0"/>
      <w:marTop w:val="0"/>
      <w:marBottom w:val="0"/>
      <w:divBdr>
        <w:top w:val="none" w:sz="0" w:space="0" w:color="auto"/>
        <w:left w:val="none" w:sz="0" w:space="0" w:color="auto"/>
        <w:bottom w:val="none" w:sz="0" w:space="0" w:color="auto"/>
        <w:right w:val="none" w:sz="0" w:space="0" w:color="auto"/>
      </w:divBdr>
    </w:div>
    <w:div w:id="324631406">
      <w:bodyDiv w:val="1"/>
      <w:marLeft w:val="0"/>
      <w:marRight w:val="0"/>
      <w:marTop w:val="0"/>
      <w:marBottom w:val="0"/>
      <w:divBdr>
        <w:top w:val="none" w:sz="0" w:space="0" w:color="auto"/>
        <w:left w:val="none" w:sz="0" w:space="0" w:color="auto"/>
        <w:bottom w:val="none" w:sz="0" w:space="0" w:color="auto"/>
        <w:right w:val="none" w:sz="0" w:space="0" w:color="auto"/>
      </w:divBdr>
    </w:div>
    <w:div w:id="836189549">
      <w:bodyDiv w:val="1"/>
      <w:marLeft w:val="0"/>
      <w:marRight w:val="0"/>
      <w:marTop w:val="0"/>
      <w:marBottom w:val="0"/>
      <w:divBdr>
        <w:top w:val="none" w:sz="0" w:space="0" w:color="auto"/>
        <w:left w:val="none" w:sz="0" w:space="0" w:color="auto"/>
        <w:bottom w:val="none" w:sz="0" w:space="0" w:color="auto"/>
        <w:right w:val="none" w:sz="0" w:space="0" w:color="auto"/>
      </w:divBdr>
      <w:divsChild>
        <w:div w:id="1811286558">
          <w:marLeft w:val="0"/>
          <w:marRight w:val="0"/>
          <w:marTop w:val="0"/>
          <w:marBottom w:val="0"/>
          <w:divBdr>
            <w:top w:val="none" w:sz="0" w:space="0" w:color="auto"/>
            <w:left w:val="none" w:sz="0" w:space="0" w:color="auto"/>
            <w:bottom w:val="none" w:sz="0" w:space="0" w:color="auto"/>
            <w:right w:val="none" w:sz="0" w:space="0" w:color="auto"/>
          </w:divBdr>
          <w:divsChild>
            <w:div w:id="1685285144">
              <w:marLeft w:val="0"/>
              <w:marRight w:val="0"/>
              <w:marTop w:val="0"/>
              <w:marBottom w:val="0"/>
              <w:divBdr>
                <w:top w:val="none" w:sz="0" w:space="0" w:color="auto"/>
                <w:left w:val="none" w:sz="0" w:space="0" w:color="auto"/>
                <w:bottom w:val="none" w:sz="0" w:space="0" w:color="auto"/>
                <w:right w:val="none" w:sz="0" w:space="0" w:color="auto"/>
              </w:divBdr>
              <w:divsChild>
                <w:div w:id="428160023">
                  <w:marLeft w:val="0"/>
                  <w:marRight w:val="0"/>
                  <w:marTop w:val="0"/>
                  <w:marBottom w:val="0"/>
                  <w:divBdr>
                    <w:top w:val="none" w:sz="0" w:space="0" w:color="auto"/>
                    <w:left w:val="none" w:sz="0" w:space="0" w:color="auto"/>
                    <w:bottom w:val="none" w:sz="0" w:space="0" w:color="auto"/>
                    <w:right w:val="none" w:sz="0" w:space="0" w:color="auto"/>
                  </w:divBdr>
                  <w:divsChild>
                    <w:div w:id="1007445353">
                      <w:marLeft w:val="0"/>
                      <w:marRight w:val="0"/>
                      <w:marTop w:val="0"/>
                      <w:marBottom w:val="0"/>
                      <w:divBdr>
                        <w:top w:val="none" w:sz="0" w:space="0" w:color="auto"/>
                        <w:left w:val="none" w:sz="0" w:space="0" w:color="auto"/>
                        <w:bottom w:val="none" w:sz="0" w:space="0" w:color="auto"/>
                        <w:right w:val="none" w:sz="0" w:space="0" w:color="auto"/>
                      </w:divBdr>
                    </w:div>
                    <w:div w:id="392435330">
                      <w:marLeft w:val="375"/>
                      <w:marRight w:val="0"/>
                      <w:marTop w:val="0"/>
                      <w:marBottom w:val="0"/>
                      <w:divBdr>
                        <w:top w:val="none" w:sz="0" w:space="0" w:color="auto"/>
                        <w:left w:val="none" w:sz="0" w:space="0" w:color="auto"/>
                        <w:bottom w:val="none" w:sz="0" w:space="0" w:color="auto"/>
                        <w:right w:val="none" w:sz="0" w:space="0" w:color="auto"/>
                      </w:divBdr>
                      <w:divsChild>
                        <w:div w:id="59618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2308">
          <w:marLeft w:val="0"/>
          <w:marRight w:val="0"/>
          <w:marTop w:val="0"/>
          <w:marBottom w:val="0"/>
          <w:divBdr>
            <w:top w:val="none" w:sz="0" w:space="0" w:color="auto"/>
            <w:left w:val="none" w:sz="0" w:space="0" w:color="auto"/>
            <w:bottom w:val="none" w:sz="0" w:space="0" w:color="auto"/>
            <w:right w:val="none" w:sz="0" w:space="0" w:color="auto"/>
          </w:divBdr>
          <w:divsChild>
            <w:div w:id="516819632">
              <w:marLeft w:val="0"/>
              <w:marRight w:val="0"/>
              <w:marTop w:val="0"/>
              <w:marBottom w:val="0"/>
              <w:divBdr>
                <w:top w:val="none" w:sz="0" w:space="0" w:color="auto"/>
                <w:left w:val="none" w:sz="0" w:space="0" w:color="auto"/>
                <w:bottom w:val="none" w:sz="0" w:space="0" w:color="auto"/>
                <w:right w:val="none" w:sz="0" w:space="0" w:color="auto"/>
              </w:divBdr>
              <w:divsChild>
                <w:div w:id="1720473910">
                  <w:marLeft w:val="0"/>
                  <w:marRight w:val="0"/>
                  <w:marTop w:val="0"/>
                  <w:marBottom w:val="0"/>
                  <w:divBdr>
                    <w:top w:val="none" w:sz="0" w:space="0" w:color="auto"/>
                    <w:left w:val="none" w:sz="0" w:space="0" w:color="auto"/>
                    <w:bottom w:val="none" w:sz="0" w:space="0" w:color="auto"/>
                    <w:right w:val="none" w:sz="0" w:space="0" w:color="auto"/>
                  </w:divBdr>
                  <w:divsChild>
                    <w:div w:id="1667705088">
                      <w:marLeft w:val="0"/>
                      <w:marRight w:val="0"/>
                      <w:marTop w:val="0"/>
                      <w:marBottom w:val="0"/>
                      <w:divBdr>
                        <w:top w:val="none" w:sz="0" w:space="0" w:color="auto"/>
                        <w:left w:val="none" w:sz="0" w:space="0" w:color="auto"/>
                        <w:bottom w:val="none" w:sz="0" w:space="0" w:color="auto"/>
                        <w:right w:val="none" w:sz="0" w:space="0" w:color="auto"/>
                      </w:divBdr>
                      <w:divsChild>
                        <w:div w:id="2043090831">
                          <w:marLeft w:val="0"/>
                          <w:marRight w:val="0"/>
                          <w:marTop w:val="0"/>
                          <w:marBottom w:val="0"/>
                          <w:divBdr>
                            <w:top w:val="none" w:sz="0" w:space="0" w:color="auto"/>
                            <w:left w:val="none" w:sz="0" w:space="0" w:color="auto"/>
                            <w:bottom w:val="none" w:sz="0" w:space="0" w:color="auto"/>
                            <w:right w:val="none" w:sz="0" w:space="0" w:color="auto"/>
                          </w:divBdr>
                          <w:divsChild>
                            <w:div w:id="368264767">
                              <w:marLeft w:val="0"/>
                              <w:marRight w:val="0"/>
                              <w:marTop w:val="0"/>
                              <w:marBottom w:val="0"/>
                              <w:divBdr>
                                <w:top w:val="none" w:sz="0" w:space="0" w:color="auto"/>
                                <w:left w:val="none" w:sz="0" w:space="0" w:color="auto"/>
                                <w:bottom w:val="none" w:sz="0" w:space="0" w:color="auto"/>
                                <w:right w:val="none" w:sz="0" w:space="0" w:color="auto"/>
                              </w:divBdr>
                              <w:divsChild>
                                <w:div w:id="953828815">
                                  <w:marLeft w:val="0"/>
                                  <w:marRight w:val="0"/>
                                  <w:marTop w:val="0"/>
                                  <w:marBottom w:val="300"/>
                                  <w:divBdr>
                                    <w:top w:val="none" w:sz="0" w:space="0" w:color="auto"/>
                                    <w:left w:val="none" w:sz="0" w:space="0" w:color="auto"/>
                                    <w:bottom w:val="none" w:sz="0" w:space="0" w:color="auto"/>
                                    <w:right w:val="none" w:sz="0" w:space="0" w:color="auto"/>
                                  </w:divBdr>
                                  <w:divsChild>
                                    <w:div w:id="855733845">
                                      <w:marLeft w:val="0"/>
                                      <w:marRight w:val="0"/>
                                      <w:marTop w:val="0"/>
                                      <w:marBottom w:val="0"/>
                                      <w:divBdr>
                                        <w:top w:val="none" w:sz="0" w:space="0" w:color="auto"/>
                                        <w:left w:val="none" w:sz="0" w:space="0" w:color="auto"/>
                                        <w:bottom w:val="none" w:sz="0" w:space="0" w:color="auto"/>
                                        <w:right w:val="none" w:sz="0" w:space="0" w:color="auto"/>
                                      </w:divBdr>
                                    </w:div>
                                  </w:divsChild>
                                </w:div>
                                <w:div w:id="2026323460">
                                  <w:marLeft w:val="0"/>
                                  <w:marRight w:val="0"/>
                                  <w:marTop w:val="0"/>
                                  <w:marBottom w:val="300"/>
                                  <w:divBdr>
                                    <w:top w:val="none" w:sz="0" w:space="0" w:color="auto"/>
                                    <w:left w:val="none" w:sz="0" w:space="0" w:color="auto"/>
                                    <w:bottom w:val="none" w:sz="0" w:space="0" w:color="auto"/>
                                    <w:right w:val="none" w:sz="0" w:space="0" w:color="auto"/>
                                  </w:divBdr>
                                  <w:divsChild>
                                    <w:div w:id="1172913940">
                                      <w:marLeft w:val="0"/>
                                      <w:marRight w:val="0"/>
                                      <w:marTop w:val="0"/>
                                      <w:marBottom w:val="0"/>
                                      <w:divBdr>
                                        <w:top w:val="none" w:sz="0" w:space="0" w:color="auto"/>
                                        <w:left w:val="none" w:sz="0" w:space="0" w:color="auto"/>
                                        <w:bottom w:val="none" w:sz="0" w:space="0" w:color="auto"/>
                                        <w:right w:val="none" w:sz="0" w:space="0" w:color="auto"/>
                                      </w:divBdr>
                                    </w:div>
                                  </w:divsChild>
                                </w:div>
                                <w:div w:id="21153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913242">
                      <w:marLeft w:val="0"/>
                      <w:marRight w:val="0"/>
                      <w:marTop w:val="0"/>
                      <w:marBottom w:val="0"/>
                      <w:divBdr>
                        <w:top w:val="none" w:sz="0" w:space="0" w:color="auto"/>
                        <w:left w:val="none" w:sz="0" w:space="0" w:color="auto"/>
                        <w:bottom w:val="none" w:sz="0" w:space="0" w:color="auto"/>
                        <w:right w:val="none" w:sz="0" w:space="0" w:color="auto"/>
                      </w:divBdr>
                      <w:divsChild>
                        <w:div w:id="30227052">
                          <w:marLeft w:val="0"/>
                          <w:marRight w:val="0"/>
                          <w:marTop w:val="0"/>
                          <w:marBottom w:val="0"/>
                          <w:divBdr>
                            <w:top w:val="none" w:sz="0" w:space="0" w:color="auto"/>
                            <w:left w:val="none" w:sz="0" w:space="0" w:color="auto"/>
                            <w:bottom w:val="none" w:sz="0" w:space="0" w:color="auto"/>
                            <w:right w:val="none" w:sz="0" w:space="0" w:color="auto"/>
                          </w:divBdr>
                          <w:divsChild>
                            <w:div w:id="2070300420">
                              <w:marLeft w:val="0"/>
                              <w:marRight w:val="0"/>
                              <w:marTop w:val="0"/>
                              <w:marBottom w:val="0"/>
                              <w:divBdr>
                                <w:top w:val="none" w:sz="0" w:space="0" w:color="auto"/>
                                <w:left w:val="none" w:sz="0" w:space="0" w:color="auto"/>
                                <w:bottom w:val="none" w:sz="0" w:space="0" w:color="auto"/>
                                <w:right w:val="none" w:sz="0" w:space="0" w:color="auto"/>
                              </w:divBdr>
                              <w:divsChild>
                                <w:div w:id="890195693">
                                  <w:marLeft w:val="0"/>
                                  <w:marRight w:val="0"/>
                                  <w:marTop w:val="0"/>
                                  <w:marBottom w:val="0"/>
                                  <w:divBdr>
                                    <w:top w:val="none" w:sz="0" w:space="0" w:color="auto"/>
                                    <w:left w:val="none" w:sz="0" w:space="0" w:color="auto"/>
                                    <w:bottom w:val="none" w:sz="0" w:space="0" w:color="auto"/>
                                    <w:right w:val="none" w:sz="0" w:space="0" w:color="auto"/>
                                  </w:divBdr>
                                  <w:divsChild>
                                    <w:div w:id="863402541">
                                      <w:marLeft w:val="0"/>
                                      <w:marRight w:val="0"/>
                                      <w:marTop w:val="0"/>
                                      <w:marBottom w:val="0"/>
                                      <w:divBdr>
                                        <w:top w:val="none" w:sz="0" w:space="0" w:color="auto"/>
                                        <w:left w:val="none" w:sz="0" w:space="0" w:color="auto"/>
                                        <w:bottom w:val="none" w:sz="0" w:space="0" w:color="auto"/>
                                        <w:right w:val="none" w:sz="0" w:space="0" w:color="auto"/>
                                      </w:divBdr>
                                      <w:divsChild>
                                        <w:div w:id="894270477">
                                          <w:marLeft w:val="0"/>
                                          <w:marRight w:val="0"/>
                                          <w:marTop w:val="480"/>
                                          <w:marBottom w:val="480"/>
                                          <w:divBdr>
                                            <w:top w:val="none" w:sz="0" w:space="0" w:color="auto"/>
                                            <w:left w:val="none" w:sz="0" w:space="0" w:color="auto"/>
                                            <w:bottom w:val="none" w:sz="0" w:space="0" w:color="auto"/>
                                            <w:right w:val="none" w:sz="0" w:space="0" w:color="auto"/>
                                          </w:divBdr>
                                          <w:divsChild>
                                            <w:div w:id="1930504126">
                                              <w:marLeft w:val="0"/>
                                              <w:marRight w:val="0"/>
                                              <w:marTop w:val="0"/>
                                              <w:marBottom w:val="90"/>
                                              <w:divBdr>
                                                <w:top w:val="none" w:sz="0" w:space="0" w:color="auto"/>
                                                <w:left w:val="none" w:sz="0" w:space="0" w:color="auto"/>
                                                <w:bottom w:val="none" w:sz="0" w:space="0" w:color="auto"/>
                                                <w:right w:val="none" w:sz="0" w:space="0" w:color="auto"/>
                                              </w:divBdr>
                                            </w:div>
                                            <w:div w:id="1744256663">
                                              <w:marLeft w:val="0"/>
                                              <w:marRight w:val="0"/>
                                              <w:marTop w:val="0"/>
                                              <w:marBottom w:val="0"/>
                                              <w:divBdr>
                                                <w:top w:val="none" w:sz="0" w:space="0" w:color="auto"/>
                                                <w:left w:val="none" w:sz="0" w:space="0" w:color="auto"/>
                                                <w:bottom w:val="none" w:sz="0" w:space="0" w:color="auto"/>
                                                <w:right w:val="none" w:sz="0" w:space="0" w:color="auto"/>
                                              </w:divBdr>
                                              <w:divsChild>
                                                <w:div w:id="1750274279">
                                                  <w:marLeft w:val="0"/>
                                                  <w:marRight w:val="0"/>
                                                  <w:marTop w:val="0"/>
                                                  <w:marBottom w:val="0"/>
                                                  <w:divBdr>
                                                    <w:top w:val="none" w:sz="0" w:space="0" w:color="auto"/>
                                                    <w:left w:val="none" w:sz="0" w:space="0" w:color="auto"/>
                                                    <w:bottom w:val="none" w:sz="0" w:space="0" w:color="auto"/>
                                                    <w:right w:val="none" w:sz="0" w:space="0" w:color="auto"/>
                                                  </w:divBdr>
                                                  <w:divsChild>
                                                    <w:div w:id="566914045">
                                                      <w:marLeft w:val="0"/>
                                                      <w:marRight w:val="0"/>
                                                      <w:marTop w:val="0"/>
                                                      <w:marBottom w:val="0"/>
                                                      <w:divBdr>
                                                        <w:top w:val="none" w:sz="0" w:space="0" w:color="auto"/>
                                                        <w:left w:val="none" w:sz="0" w:space="0" w:color="auto"/>
                                                        <w:bottom w:val="none" w:sz="0" w:space="0" w:color="auto"/>
                                                        <w:right w:val="none" w:sz="0" w:space="0" w:color="auto"/>
                                                      </w:divBdr>
                                                      <w:divsChild>
                                                        <w:div w:id="541357896">
                                                          <w:marLeft w:val="210"/>
                                                          <w:marRight w:val="0"/>
                                                          <w:marTop w:val="30"/>
                                                          <w:marBottom w:val="0"/>
                                                          <w:divBdr>
                                                            <w:top w:val="none" w:sz="0" w:space="0" w:color="auto"/>
                                                            <w:left w:val="none" w:sz="0" w:space="0" w:color="auto"/>
                                                            <w:bottom w:val="none" w:sz="0" w:space="0" w:color="auto"/>
                                                            <w:right w:val="none" w:sz="0" w:space="0" w:color="auto"/>
                                                          </w:divBdr>
                                                          <w:divsChild>
                                                            <w:div w:id="886794562">
                                                              <w:marLeft w:val="0"/>
                                                              <w:marRight w:val="0"/>
                                                              <w:marTop w:val="0"/>
                                                              <w:marBottom w:val="0"/>
                                                              <w:divBdr>
                                                                <w:top w:val="none" w:sz="0" w:space="0" w:color="auto"/>
                                                                <w:left w:val="none" w:sz="0" w:space="0" w:color="auto"/>
                                                                <w:bottom w:val="none" w:sz="0" w:space="0" w:color="auto"/>
                                                                <w:right w:val="none" w:sz="0" w:space="0" w:color="auto"/>
                                                              </w:divBdr>
                                                            </w:div>
                                                            <w:div w:id="57720648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543443036">
                                                      <w:marLeft w:val="0"/>
                                                      <w:marRight w:val="0"/>
                                                      <w:marTop w:val="30"/>
                                                      <w:marBottom w:val="0"/>
                                                      <w:divBdr>
                                                        <w:top w:val="none" w:sz="0" w:space="0" w:color="auto"/>
                                                        <w:left w:val="none" w:sz="0" w:space="0" w:color="auto"/>
                                                        <w:bottom w:val="none" w:sz="0" w:space="0" w:color="auto"/>
                                                        <w:right w:val="none" w:sz="0" w:space="0" w:color="auto"/>
                                                      </w:divBdr>
                                                      <w:divsChild>
                                                        <w:div w:id="1079517852">
                                                          <w:marLeft w:val="210"/>
                                                          <w:marRight w:val="0"/>
                                                          <w:marTop w:val="30"/>
                                                          <w:marBottom w:val="0"/>
                                                          <w:divBdr>
                                                            <w:top w:val="none" w:sz="0" w:space="0" w:color="auto"/>
                                                            <w:left w:val="none" w:sz="0" w:space="0" w:color="auto"/>
                                                            <w:bottom w:val="none" w:sz="0" w:space="0" w:color="auto"/>
                                                            <w:right w:val="none" w:sz="0" w:space="0" w:color="auto"/>
                                                          </w:divBdr>
                                                          <w:divsChild>
                                                            <w:div w:id="4760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996595">
                                                      <w:marLeft w:val="0"/>
                                                      <w:marRight w:val="0"/>
                                                      <w:marTop w:val="30"/>
                                                      <w:marBottom w:val="0"/>
                                                      <w:divBdr>
                                                        <w:top w:val="none" w:sz="0" w:space="0" w:color="auto"/>
                                                        <w:left w:val="none" w:sz="0" w:space="0" w:color="auto"/>
                                                        <w:bottom w:val="none" w:sz="0" w:space="0" w:color="auto"/>
                                                        <w:right w:val="none" w:sz="0" w:space="0" w:color="auto"/>
                                                      </w:divBdr>
                                                      <w:divsChild>
                                                        <w:div w:id="269436774">
                                                          <w:marLeft w:val="210"/>
                                                          <w:marRight w:val="0"/>
                                                          <w:marTop w:val="30"/>
                                                          <w:marBottom w:val="0"/>
                                                          <w:divBdr>
                                                            <w:top w:val="none" w:sz="0" w:space="0" w:color="auto"/>
                                                            <w:left w:val="none" w:sz="0" w:space="0" w:color="auto"/>
                                                            <w:bottom w:val="none" w:sz="0" w:space="0" w:color="auto"/>
                                                            <w:right w:val="none" w:sz="0" w:space="0" w:color="auto"/>
                                                          </w:divBdr>
                                                          <w:divsChild>
                                                            <w:div w:id="140591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453599">
                                                      <w:marLeft w:val="0"/>
                                                      <w:marRight w:val="0"/>
                                                      <w:marTop w:val="30"/>
                                                      <w:marBottom w:val="0"/>
                                                      <w:divBdr>
                                                        <w:top w:val="none" w:sz="0" w:space="0" w:color="auto"/>
                                                        <w:left w:val="none" w:sz="0" w:space="0" w:color="auto"/>
                                                        <w:bottom w:val="none" w:sz="0" w:space="0" w:color="auto"/>
                                                        <w:right w:val="none" w:sz="0" w:space="0" w:color="auto"/>
                                                      </w:divBdr>
                                                    </w:div>
                                                    <w:div w:id="1945458564">
                                                      <w:marLeft w:val="0"/>
                                                      <w:marRight w:val="0"/>
                                                      <w:marTop w:val="30"/>
                                                      <w:marBottom w:val="0"/>
                                                      <w:divBdr>
                                                        <w:top w:val="none" w:sz="0" w:space="0" w:color="auto"/>
                                                        <w:left w:val="none" w:sz="0" w:space="0" w:color="auto"/>
                                                        <w:bottom w:val="none" w:sz="0" w:space="0" w:color="auto"/>
                                                        <w:right w:val="none" w:sz="0" w:space="0" w:color="auto"/>
                                                      </w:divBdr>
                                                      <w:divsChild>
                                                        <w:div w:id="1491676770">
                                                          <w:marLeft w:val="210"/>
                                                          <w:marRight w:val="0"/>
                                                          <w:marTop w:val="30"/>
                                                          <w:marBottom w:val="0"/>
                                                          <w:divBdr>
                                                            <w:top w:val="none" w:sz="0" w:space="0" w:color="auto"/>
                                                            <w:left w:val="none" w:sz="0" w:space="0" w:color="auto"/>
                                                            <w:bottom w:val="none" w:sz="0" w:space="0" w:color="auto"/>
                                                            <w:right w:val="none" w:sz="0" w:space="0" w:color="auto"/>
                                                          </w:divBdr>
                                                          <w:divsChild>
                                                            <w:div w:id="1387219860">
                                                              <w:marLeft w:val="0"/>
                                                              <w:marRight w:val="0"/>
                                                              <w:marTop w:val="0"/>
                                                              <w:marBottom w:val="0"/>
                                                              <w:divBdr>
                                                                <w:top w:val="none" w:sz="0" w:space="0" w:color="auto"/>
                                                                <w:left w:val="none" w:sz="0" w:space="0" w:color="auto"/>
                                                                <w:bottom w:val="none" w:sz="0" w:space="0" w:color="auto"/>
                                                                <w:right w:val="none" w:sz="0" w:space="0" w:color="auto"/>
                                                              </w:divBdr>
                                                            </w:div>
                                                            <w:div w:id="37520523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71050870">
                                                      <w:marLeft w:val="0"/>
                                                      <w:marRight w:val="0"/>
                                                      <w:marTop w:val="30"/>
                                                      <w:marBottom w:val="0"/>
                                                      <w:divBdr>
                                                        <w:top w:val="none" w:sz="0" w:space="0" w:color="auto"/>
                                                        <w:left w:val="none" w:sz="0" w:space="0" w:color="auto"/>
                                                        <w:bottom w:val="none" w:sz="0" w:space="0" w:color="auto"/>
                                                        <w:right w:val="none" w:sz="0" w:space="0" w:color="auto"/>
                                                      </w:divBdr>
                                                    </w:div>
                                                    <w:div w:id="399981855">
                                                      <w:marLeft w:val="0"/>
                                                      <w:marRight w:val="0"/>
                                                      <w:marTop w:val="30"/>
                                                      <w:marBottom w:val="0"/>
                                                      <w:divBdr>
                                                        <w:top w:val="none" w:sz="0" w:space="0" w:color="auto"/>
                                                        <w:left w:val="none" w:sz="0" w:space="0" w:color="auto"/>
                                                        <w:bottom w:val="none" w:sz="0" w:space="0" w:color="auto"/>
                                                        <w:right w:val="none" w:sz="0" w:space="0" w:color="auto"/>
                                                      </w:divBdr>
                                                    </w:div>
                                                    <w:div w:id="157983067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4543991">
      <w:bodyDiv w:val="1"/>
      <w:marLeft w:val="0"/>
      <w:marRight w:val="0"/>
      <w:marTop w:val="0"/>
      <w:marBottom w:val="0"/>
      <w:divBdr>
        <w:top w:val="none" w:sz="0" w:space="0" w:color="auto"/>
        <w:left w:val="none" w:sz="0" w:space="0" w:color="auto"/>
        <w:bottom w:val="none" w:sz="0" w:space="0" w:color="auto"/>
        <w:right w:val="none" w:sz="0" w:space="0" w:color="auto"/>
      </w:divBdr>
    </w:div>
    <w:div w:id="1194466273">
      <w:bodyDiv w:val="1"/>
      <w:marLeft w:val="0"/>
      <w:marRight w:val="0"/>
      <w:marTop w:val="0"/>
      <w:marBottom w:val="0"/>
      <w:divBdr>
        <w:top w:val="none" w:sz="0" w:space="0" w:color="auto"/>
        <w:left w:val="none" w:sz="0" w:space="0" w:color="auto"/>
        <w:bottom w:val="none" w:sz="0" w:space="0" w:color="auto"/>
        <w:right w:val="none" w:sz="0" w:space="0" w:color="auto"/>
      </w:divBdr>
    </w:div>
    <w:div w:id="1237856523">
      <w:bodyDiv w:val="1"/>
      <w:marLeft w:val="0"/>
      <w:marRight w:val="0"/>
      <w:marTop w:val="0"/>
      <w:marBottom w:val="0"/>
      <w:divBdr>
        <w:top w:val="none" w:sz="0" w:space="0" w:color="auto"/>
        <w:left w:val="none" w:sz="0" w:space="0" w:color="auto"/>
        <w:bottom w:val="none" w:sz="0" w:space="0" w:color="auto"/>
        <w:right w:val="none" w:sz="0" w:space="0" w:color="auto"/>
      </w:divBdr>
    </w:div>
    <w:div w:id="1302886643">
      <w:bodyDiv w:val="1"/>
      <w:marLeft w:val="0"/>
      <w:marRight w:val="0"/>
      <w:marTop w:val="0"/>
      <w:marBottom w:val="0"/>
      <w:divBdr>
        <w:top w:val="none" w:sz="0" w:space="0" w:color="auto"/>
        <w:left w:val="none" w:sz="0" w:space="0" w:color="auto"/>
        <w:bottom w:val="none" w:sz="0" w:space="0" w:color="auto"/>
        <w:right w:val="none" w:sz="0" w:space="0" w:color="auto"/>
      </w:divBdr>
    </w:div>
    <w:div w:id="1669093947">
      <w:bodyDiv w:val="1"/>
      <w:marLeft w:val="0"/>
      <w:marRight w:val="0"/>
      <w:marTop w:val="0"/>
      <w:marBottom w:val="0"/>
      <w:divBdr>
        <w:top w:val="none" w:sz="0" w:space="0" w:color="auto"/>
        <w:left w:val="none" w:sz="0" w:space="0" w:color="auto"/>
        <w:bottom w:val="none" w:sz="0" w:space="0" w:color="auto"/>
        <w:right w:val="none" w:sz="0" w:space="0" w:color="auto"/>
      </w:divBdr>
    </w:div>
    <w:div w:id="20977504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fId" Type="http://schemas.openxmlformats.org/wordprocessingml/2006/fontTable" Target="fontTable0.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93177-4A72-4D6F-A656-9F99296CD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1118</TotalTime>
  <Pages>7</Pages>
  <Words>2895</Words>
  <Characters>16508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dc:creator>
  <cp:lastModifiedBy>Vivek</cp:lastModifiedBy>
  <cp:revision>46</cp:revision>
  <cp:lastPrinted>2022-04-29T07:36:00Z</cp:lastPrinted>
  <dcterms:created xsi:type="dcterms:W3CDTF">2025-01-23T07:54:00Z</dcterms:created>
  <dcterms:modified xsi:type="dcterms:W3CDTF">2026-07-23T05:05:00Z</dcterms:modified>
</cp:coreProperties>
</file>